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E5F" w:rsidRPr="00302E5F" w:rsidRDefault="00302E5F" w:rsidP="002F72DF">
      <w:pPr>
        <w:pStyle w:val="Heading8"/>
        <w:ind w:left="720" w:hanging="720"/>
        <w:rPr>
          <w:sz w:val="16"/>
          <w:szCs w:val="16"/>
          <w:u w:val="none"/>
        </w:rPr>
      </w:pPr>
    </w:p>
    <w:p w:rsidR="002F72DF" w:rsidRPr="00CD6F4A" w:rsidRDefault="002F72DF" w:rsidP="002F72DF">
      <w:pPr>
        <w:pStyle w:val="Heading8"/>
        <w:ind w:left="720" w:hanging="720"/>
        <w:rPr>
          <w:sz w:val="22"/>
          <w:szCs w:val="22"/>
        </w:rPr>
      </w:pPr>
      <w:r w:rsidRPr="00CD6F4A">
        <w:rPr>
          <w:sz w:val="22"/>
          <w:szCs w:val="22"/>
          <w:u w:val="none"/>
        </w:rPr>
        <w:t xml:space="preserve">A. </w:t>
      </w:r>
      <w:r w:rsidRPr="00CD6F4A">
        <w:rPr>
          <w:sz w:val="22"/>
          <w:szCs w:val="22"/>
          <w:u w:val="none"/>
        </w:rPr>
        <w:tab/>
      </w:r>
      <w:r w:rsidRPr="00CD6F4A">
        <w:rPr>
          <w:sz w:val="22"/>
          <w:szCs w:val="22"/>
        </w:rPr>
        <w:t>NOTES TO THE INTERIM FINANCIAL REPOR</w:t>
      </w:r>
      <w:r w:rsidR="00465179" w:rsidRPr="00CD6F4A">
        <w:rPr>
          <w:sz w:val="22"/>
          <w:szCs w:val="22"/>
        </w:rPr>
        <w:t>T</w:t>
      </w:r>
    </w:p>
    <w:p w:rsidR="002F72DF" w:rsidRPr="00CD6F4A" w:rsidRDefault="002F72DF">
      <w:pPr>
        <w:rPr>
          <w:rFonts w:ascii="Arial" w:hAnsi="Arial"/>
          <w:b/>
          <w:sz w:val="18"/>
          <w:szCs w:val="18"/>
          <w:u w:val="single"/>
        </w:rPr>
      </w:pPr>
    </w:p>
    <w:p w:rsidR="00302E5F" w:rsidRPr="00CD6F4A" w:rsidRDefault="00302E5F">
      <w:pPr>
        <w:rPr>
          <w:rFonts w:ascii="Arial" w:hAnsi="Arial"/>
          <w:b/>
          <w:sz w:val="18"/>
          <w:szCs w:val="18"/>
          <w:u w:val="single"/>
        </w:rPr>
      </w:pPr>
    </w:p>
    <w:p w:rsidR="002F72DF" w:rsidRPr="00CD6F4A" w:rsidRDefault="002F72DF" w:rsidP="002F72DF">
      <w:pPr>
        <w:numPr>
          <w:ilvl w:val="0"/>
          <w:numId w:val="19"/>
        </w:numPr>
        <w:tabs>
          <w:tab w:val="clear" w:pos="960"/>
        </w:tabs>
        <w:ind w:left="720" w:hanging="720"/>
        <w:jc w:val="both"/>
        <w:rPr>
          <w:rFonts w:ascii="Arial" w:hAnsi="Arial"/>
          <w:b/>
          <w:sz w:val="22"/>
        </w:rPr>
      </w:pPr>
      <w:r w:rsidRPr="00CD6F4A">
        <w:rPr>
          <w:rFonts w:ascii="Arial" w:hAnsi="Arial"/>
          <w:b/>
          <w:sz w:val="22"/>
        </w:rPr>
        <w:t xml:space="preserve">Basis of </w:t>
      </w:r>
      <w:r w:rsidR="00E913FE" w:rsidRPr="00CD6F4A">
        <w:rPr>
          <w:rFonts w:ascii="Arial" w:hAnsi="Arial"/>
          <w:b/>
          <w:sz w:val="22"/>
        </w:rPr>
        <w:t>P</w:t>
      </w:r>
      <w:r w:rsidRPr="00CD6F4A">
        <w:rPr>
          <w:rFonts w:ascii="Arial" w:hAnsi="Arial"/>
          <w:b/>
          <w:sz w:val="22"/>
        </w:rPr>
        <w:t>reparation</w:t>
      </w:r>
    </w:p>
    <w:p w:rsidR="002F72DF" w:rsidRPr="00CD6F4A" w:rsidRDefault="002F72DF">
      <w:pPr>
        <w:ind w:left="360"/>
        <w:jc w:val="both"/>
        <w:rPr>
          <w:rFonts w:ascii="Arial" w:hAnsi="Arial"/>
          <w:b/>
          <w:sz w:val="22"/>
        </w:rPr>
      </w:pPr>
    </w:p>
    <w:p w:rsidR="002F72DF" w:rsidRPr="00CD6F4A" w:rsidRDefault="002F72DF" w:rsidP="002F72DF">
      <w:pPr>
        <w:pStyle w:val="BodyTextIndent"/>
        <w:ind w:left="720" w:firstLine="0"/>
        <w:rPr>
          <w:sz w:val="22"/>
        </w:rPr>
      </w:pPr>
      <w:r w:rsidRPr="00CD6F4A">
        <w:rPr>
          <w:sz w:val="22"/>
        </w:rPr>
        <w:t xml:space="preserve">The interim financial statements are unaudited and have been prepared in accordance with </w:t>
      </w:r>
      <w:r w:rsidR="008B79EB" w:rsidRPr="00CD6F4A">
        <w:rPr>
          <w:sz w:val="22"/>
        </w:rPr>
        <w:t>Financial Reporting Standard</w:t>
      </w:r>
      <w:r w:rsidR="00715170" w:rsidRPr="00CD6F4A">
        <w:rPr>
          <w:sz w:val="22"/>
        </w:rPr>
        <w:t xml:space="preserve"> (“</w:t>
      </w:r>
      <w:r w:rsidRPr="00CD6F4A">
        <w:rPr>
          <w:sz w:val="22"/>
        </w:rPr>
        <w:t>FRS</w:t>
      </w:r>
      <w:r w:rsidR="00715170" w:rsidRPr="00CD6F4A">
        <w:rPr>
          <w:sz w:val="22"/>
        </w:rPr>
        <w:t>”)</w:t>
      </w:r>
      <w:r w:rsidRPr="00CD6F4A">
        <w:rPr>
          <w:sz w:val="22"/>
        </w:rPr>
        <w:t xml:space="preserve"> 134 “Interim Financial Reporting” and Chapter 9</w:t>
      </w:r>
      <w:r w:rsidR="00465179" w:rsidRPr="00CD6F4A">
        <w:rPr>
          <w:sz w:val="22"/>
        </w:rPr>
        <w:t>,</w:t>
      </w:r>
      <w:r w:rsidRPr="00CD6F4A">
        <w:rPr>
          <w:sz w:val="22"/>
        </w:rPr>
        <w:t xml:space="preserve"> Part K of the </w:t>
      </w:r>
      <w:r w:rsidR="006D6334" w:rsidRPr="00CD6F4A">
        <w:rPr>
          <w:sz w:val="22"/>
        </w:rPr>
        <w:t xml:space="preserve">Main Market </w:t>
      </w:r>
      <w:r w:rsidRPr="00CD6F4A">
        <w:rPr>
          <w:sz w:val="22"/>
        </w:rPr>
        <w:t xml:space="preserve">Listing Requirements of Bursa Malaysia Securities </w:t>
      </w:r>
      <w:proofErr w:type="spellStart"/>
      <w:r w:rsidRPr="00CD6F4A">
        <w:rPr>
          <w:sz w:val="22"/>
        </w:rPr>
        <w:t>Berhad</w:t>
      </w:r>
      <w:proofErr w:type="spellEnd"/>
      <w:r w:rsidRPr="00CD6F4A">
        <w:rPr>
          <w:sz w:val="22"/>
        </w:rPr>
        <w:t xml:space="preserve"> (“Bursa Securities”).</w:t>
      </w:r>
    </w:p>
    <w:p w:rsidR="002F72DF" w:rsidRPr="00CD6F4A" w:rsidRDefault="002F72DF" w:rsidP="002F72DF">
      <w:pPr>
        <w:pStyle w:val="BodyTextIndent"/>
        <w:ind w:left="720" w:firstLine="0"/>
        <w:rPr>
          <w:sz w:val="22"/>
        </w:rPr>
      </w:pPr>
    </w:p>
    <w:p w:rsidR="00A57C34" w:rsidRPr="00CD6F4A" w:rsidRDefault="00A57C34" w:rsidP="00A57C34">
      <w:pPr>
        <w:autoSpaceDE w:val="0"/>
        <w:autoSpaceDN w:val="0"/>
        <w:adjustRightInd w:val="0"/>
        <w:ind w:left="720"/>
        <w:jc w:val="both"/>
        <w:rPr>
          <w:rFonts w:ascii="Arial" w:hAnsi="Arial" w:cs="Arial"/>
        </w:rPr>
      </w:pPr>
      <w:r w:rsidRPr="00CD6F4A">
        <w:rPr>
          <w:rFonts w:ascii="Arial" w:hAnsi="Arial" w:cs="Arial"/>
          <w:sz w:val="22"/>
          <w:szCs w:val="22"/>
        </w:rPr>
        <w:t>The interim financial report should be read in conjunction with the audited financial statements of the Group for the year ended 31 December 20</w:t>
      </w:r>
      <w:r w:rsidR="00BA4CD7" w:rsidRPr="00CD6F4A">
        <w:rPr>
          <w:rFonts w:ascii="Arial" w:hAnsi="Arial" w:cs="Arial"/>
          <w:sz w:val="22"/>
          <w:szCs w:val="22"/>
        </w:rPr>
        <w:t>09</w:t>
      </w:r>
      <w:r w:rsidRPr="00CD6F4A">
        <w:rPr>
          <w:rFonts w:ascii="Arial" w:hAnsi="Arial" w:cs="Arial"/>
          <w:sz w:val="22"/>
          <w:szCs w:val="22"/>
        </w:rPr>
        <w:t>.</w:t>
      </w:r>
    </w:p>
    <w:p w:rsidR="002F72DF" w:rsidRPr="00CD6F4A" w:rsidRDefault="002F72DF" w:rsidP="002F72DF">
      <w:pPr>
        <w:pStyle w:val="BodyTextIndent"/>
        <w:ind w:left="720" w:firstLine="0"/>
        <w:rPr>
          <w:sz w:val="18"/>
          <w:szCs w:val="18"/>
        </w:rPr>
      </w:pPr>
    </w:p>
    <w:p w:rsidR="002F72DF" w:rsidRPr="00CD6F4A" w:rsidRDefault="002F72DF">
      <w:pPr>
        <w:pStyle w:val="BodyTextIndent"/>
        <w:ind w:left="720" w:firstLine="0"/>
        <w:rPr>
          <w:sz w:val="18"/>
          <w:szCs w:val="18"/>
        </w:rPr>
      </w:pPr>
    </w:p>
    <w:p w:rsidR="002F72DF" w:rsidRPr="00CD6F4A" w:rsidRDefault="002F72DF" w:rsidP="002F72DF">
      <w:pPr>
        <w:pStyle w:val="BodyTextIndent"/>
        <w:numPr>
          <w:ilvl w:val="0"/>
          <w:numId w:val="19"/>
        </w:numPr>
        <w:tabs>
          <w:tab w:val="clear" w:pos="960"/>
        </w:tabs>
        <w:ind w:left="720" w:hanging="720"/>
        <w:rPr>
          <w:b/>
          <w:sz w:val="22"/>
        </w:rPr>
      </w:pPr>
      <w:r w:rsidRPr="00CD6F4A">
        <w:rPr>
          <w:b/>
          <w:sz w:val="22"/>
        </w:rPr>
        <w:t>Changes in Accounting Policies</w:t>
      </w:r>
    </w:p>
    <w:p w:rsidR="002F72DF" w:rsidRPr="00CD6F4A" w:rsidRDefault="002F72DF">
      <w:pPr>
        <w:pStyle w:val="BodyTextIndent"/>
        <w:rPr>
          <w:sz w:val="22"/>
        </w:rPr>
      </w:pPr>
    </w:p>
    <w:p w:rsidR="005B1019" w:rsidRPr="00CD6F4A" w:rsidRDefault="00C216A1" w:rsidP="00336F10">
      <w:pPr>
        <w:pStyle w:val="BodyTextIndent"/>
        <w:ind w:left="720" w:firstLine="0"/>
        <w:rPr>
          <w:sz w:val="22"/>
          <w:szCs w:val="22"/>
        </w:rPr>
      </w:pPr>
      <w:r w:rsidRPr="00CD6F4A">
        <w:rPr>
          <w:sz w:val="22"/>
          <w:szCs w:val="22"/>
        </w:rPr>
        <w:t>The accounting policies and methods of computation adopted for the interim financial statemen</w:t>
      </w:r>
      <w:r w:rsidR="00CD0662" w:rsidRPr="00CD6F4A">
        <w:rPr>
          <w:sz w:val="22"/>
          <w:szCs w:val="22"/>
        </w:rPr>
        <w:t>t</w:t>
      </w:r>
      <w:r w:rsidRPr="00CD6F4A">
        <w:rPr>
          <w:sz w:val="22"/>
          <w:szCs w:val="22"/>
        </w:rPr>
        <w:t xml:space="preserve">s are consistent with those adopted </w:t>
      </w:r>
      <w:r w:rsidR="00A57C34" w:rsidRPr="00CD6F4A">
        <w:rPr>
          <w:sz w:val="22"/>
          <w:szCs w:val="22"/>
        </w:rPr>
        <w:t>by the Group in</w:t>
      </w:r>
      <w:r w:rsidRPr="00CD6F4A">
        <w:rPr>
          <w:sz w:val="22"/>
          <w:szCs w:val="22"/>
        </w:rPr>
        <w:t xml:space="preserve"> the audited financial statements for the year ended 31 December 20</w:t>
      </w:r>
      <w:r w:rsidR="00BA4CD7" w:rsidRPr="00CD6F4A">
        <w:rPr>
          <w:sz w:val="22"/>
          <w:szCs w:val="22"/>
        </w:rPr>
        <w:t>09 except for the adoption of the following new and revised FRSs, Issues Committee (“IC”) Interpretations and amendments to FRSs and IC Interpretations which are relevant to the Group’s operations with effect from 1 January 2010:</w:t>
      </w:r>
      <w:r w:rsidR="007F6EBF" w:rsidRPr="00CD6F4A">
        <w:rPr>
          <w:sz w:val="22"/>
          <w:szCs w:val="22"/>
        </w:rPr>
        <w:t>-</w:t>
      </w:r>
    </w:p>
    <w:p w:rsidR="00FA2BD6" w:rsidRPr="00CD6F4A" w:rsidRDefault="00FA2BD6" w:rsidP="00336F10">
      <w:pPr>
        <w:pStyle w:val="BodyTextIndent"/>
        <w:ind w:left="720" w:firstLine="0"/>
        <w:rPr>
          <w:sz w:val="22"/>
          <w:szCs w:val="22"/>
        </w:rPr>
      </w:pPr>
    </w:p>
    <w:tbl>
      <w:tblPr>
        <w:tblW w:w="8730" w:type="dxa"/>
        <w:tblInd w:w="828" w:type="dxa"/>
        <w:tblLook w:val="01E0"/>
      </w:tblPr>
      <w:tblGrid>
        <w:gridCol w:w="2880"/>
        <w:gridCol w:w="5850"/>
      </w:tblGrid>
      <w:tr w:rsidR="00C6440A" w:rsidRPr="00CD6F4A">
        <w:tc>
          <w:tcPr>
            <w:tcW w:w="2880" w:type="dxa"/>
          </w:tcPr>
          <w:p w:rsidR="00C6440A" w:rsidRPr="00CD6F4A" w:rsidRDefault="00C6440A" w:rsidP="00C0371A">
            <w:pPr>
              <w:tabs>
                <w:tab w:val="left" w:pos="360"/>
              </w:tabs>
              <w:adjustRightInd w:val="0"/>
              <w:jc w:val="both"/>
              <w:rPr>
                <w:rFonts w:ascii="Arial" w:hAnsi="Arial" w:cs="Arial"/>
                <w:sz w:val="22"/>
                <w:szCs w:val="22"/>
              </w:rPr>
            </w:pPr>
            <w:r w:rsidRPr="00CD6F4A">
              <w:rPr>
                <w:rFonts w:ascii="Arial" w:hAnsi="Arial" w:cs="Arial"/>
                <w:sz w:val="22"/>
                <w:szCs w:val="22"/>
              </w:rPr>
              <w:t>FRS 7</w:t>
            </w:r>
          </w:p>
        </w:tc>
        <w:tc>
          <w:tcPr>
            <w:tcW w:w="5850" w:type="dxa"/>
          </w:tcPr>
          <w:p w:rsidR="00C6440A" w:rsidRPr="00CD6F4A" w:rsidRDefault="00C6440A" w:rsidP="00C0371A">
            <w:pPr>
              <w:tabs>
                <w:tab w:val="left" w:pos="360"/>
              </w:tabs>
              <w:adjustRightInd w:val="0"/>
              <w:rPr>
                <w:sz w:val="24"/>
                <w:szCs w:val="24"/>
              </w:rPr>
            </w:pPr>
            <w:r w:rsidRPr="00CD6F4A">
              <w:rPr>
                <w:rFonts w:ascii="Arial" w:hAnsi="Arial" w:cs="Arial"/>
                <w:sz w:val="22"/>
                <w:szCs w:val="22"/>
              </w:rPr>
              <w:t>Financial Instruments: Disclosures</w:t>
            </w:r>
          </w:p>
        </w:tc>
      </w:tr>
      <w:tr w:rsidR="00FA2BD6" w:rsidRPr="00CD6F4A">
        <w:tc>
          <w:tcPr>
            <w:tcW w:w="2880" w:type="dxa"/>
          </w:tcPr>
          <w:p w:rsidR="00FA2BD6" w:rsidRPr="00CD6F4A" w:rsidRDefault="00FA2BD6" w:rsidP="00E2176D">
            <w:pPr>
              <w:tabs>
                <w:tab w:val="left" w:pos="360"/>
              </w:tabs>
              <w:adjustRightInd w:val="0"/>
              <w:jc w:val="both"/>
              <w:rPr>
                <w:rFonts w:ascii="Arial" w:hAnsi="Arial" w:cs="Arial"/>
                <w:sz w:val="22"/>
                <w:szCs w:val="22"/>
              </w:rPr>
            </w:pPr>
            <w:r w:rsidRPr="00CD6F4A">
              <w:rPr>
                <w:rFonts w:ascii="Arial" w:hAnsi="Arial" w:cs="Arial"/>
                <w:sz w:val="22"/>
                <w:szCs w:val="22"/>
              </w:rPr>
              <w:t xml:space="preserve">FRS 8 </w:t>
            </w:r>
          </w:p>
        </w:tc>
        <w:tc>
          <w:tcPr>
            <w:tcW w:w="5850" w:type="dxa"/>
          </w:tcPr>
          <w:p w:rsidR="00FA2BD6" w:rsidRPr="00CD6F4A" w:rsidRDefault="00E2176D" w:rsidP="00E2176D">
            <w:pPr>
              <w:tabs>
                <w:tab w:val="left" w:pos="360"/>
              </w:tabs>
              <w:adjustRightInd w:val="0"/>
              <w:rPr>
                <w:sz w:val="24"/>
                <w:szCs w:val="24"/>
              </w:rPr>
            </w:pPr>
            <w:r w:rsidRPr="00CD6F4A">
              <w:rPr>
                <w:rFonts w:ascii="Arial" w:hAnsi="Arial" w:cs="Arial"/>
                <w:sz w:val="22"/>
                <w:szCs w:val="22"/>
              </w:rPr>
              <w:t>Operating Segments</w:t>
            </w:r>
          </w:p>
        </w:tc>
      </w:tr>
      <w:tr w:rsidR="00FA2BD6" w:rsidRPr="00CD6F4A">
        <w:tc>
          <w:tcPr>
            <w:tcW w:w="2880" w:type="dxa"/>
          </w:tcPr>
          <w:p w:rsidR="00FA2BD6" w:rsidRPr="00CD6F4A" w:rsidRDefault="00FA2BD6" w:rsidP="00E2176D">
            <w:pPr>
              <w:tabs>
                <w:tab w:val="left" w:pos="360"/>
              </w:tabs>
              <w:adjustRightInd w:val="0"/>
              <w:ind w:left="72" w:hanging="72"/>
              <w:rPr>
                <w:rFonts w:ascii="Arial" w:hAnsi="Arial" w:cs="Arial"/>
                <w:sz w:val="22"/>
                <w:szCs w:val="22"/>
              </w:rPr>
            </w:pPr>
            <w:r w:rsidRPr="00CD6F4A">
              <w:rPr>
                <w:rFonts w:ascii="Arial" w:hAnsi="Arial" w:cs="Arial"/>
                <w:sz w:val="22"/>
                <w:szCs w:val="22"/>
              </w:rPr>
              <w:t>FRS 101</w:t>
            </w:r>
          </w:p>
        </w:tc>
        <w:tc>
          <w:tcPr>
            <w:tcW w:w="5850" w:type="dxa"/>
          </w:tcPr>
          <w:p w:rsidR="00FA2BD6" w:rsidRPr="00CD6F4A" w:rsidRDefault="00E2176D" w:rsidP="00E2176D">
            <w:pPr>
              <w:tabs>
                <w:tab w:val="left" w:pos="360"/>
              </w:tabs>
              <w:adjustRightInd w:val="0"/>
              <w:rPr>
                <w:sz w:val="24"/>
                <w:szCs w:val="24"/>
              </w:rPr>
            </w:pPr>
            <w:r w:rsidRPr="00CD6F4A">
              <w:rPr>
                <w:rFonts w:ascii="Arial" w:hAnsi="Arial" w:cs="Arial"/>
                <w:sz w:val="22"/>
                <w:szCs w:val="22"/>
              </w:rPr>
              <w:t>Present</w:t>
            </w:r>
            <w:r w:rsidR="00C6440A" w:rsidRPr="00CD6F4A">
              <w:rPr>
                <w:rFonts w:ascii="Arial" w:hAnsi="Arial" w:cs="Arial"/>
                <w:sz w:val="22"/>
                <w:szCs w:val="22"/>
              </w:rPr>
              <w:t>ation of Financial Statements (r</w:t>
            </w:r>
            <w:r w:rsidRPr="00CD6F4A">
              <w:rPr>
                <w:rFonts w:ascii="Arial" w:hAnsi="Arial" w:cs="Arial"/>
                <w:sz w:val="22"/>
                <w:szCs w:val="22"/>
              </w:rPr>
              <w:t>evised)</w:t>
            </w:r>
          </w:p>
        </w:tc>
      </w:tr>
      <w:tr w:rsidR="00FA2BD6" w:rsidRPr="00CD6F4A">
        <w:tc>
          <w:tcPr>
            <w:tcW w:w="2880" w:type="dxa"/>
          </w:tcPr>
          <w:p w:rsidR="00FA2BD6" w:rsidRPr="00CD6F4A" w:rsidRDefault="00FA2BD6" w:rsidP="00E2176D">
            <w:pPr>
              <w:tabs>
                <w:tab w:val="left" w:pos="360"/>
              </w:tabs>
              <w:adjustRightInd w:val="0"/>
              <w:ind w:left="72" w:hanging="72"/>
              <w:rPr>
                <w:rFonts w:ascii="Arial" w:hAnsi="Arial" w:cs="Arial"/>
                <w:sz w:val="22"/>
                <w:szCs w:val="22"/>
              </w:rPr>
            </w:pPr>
            <w:r w:rsidRPr="00CD6F4A">
              <w:rPr>
                <w:rFonts w:ascii="Arial" w:hAnsi="Arial" w:cs="Arial"/>
                <w:sz w:val="22"/>
                <w:szCs w:val="22"/>
              </w:rPr>
              <w:t>FRS 123</w:t>
            </w:r>
          </w:p>
        </w:tc>
        <w:tc>
          <w:tcPr>
            <w:tcW w:w="5850" w:type="dxa"/>
          </w:tcPr>
          <w:p w:rsidR="00FA2BD6" w:rsidRPr="00CD6F4A" w:rsidRDefault="00E2176D" w:rsidP="00E2176D">
            <w:pPr>
              <w:tabs>
                <w:tab w:val="left" w:pos="360"/>
              </w:tabs>
              <w:adjustRightInd w:val="0"/>
              <w:rPr>
                <w:sz w:val="24"/>
                <w:szCs w:val="24"/>
              </w:rPr>
            </w:pPr>
            <w:r w:rsidRPr="00CD6F4A">
              <w:rPr>
                <w:rFonts w:ascii="Arial" w:hAnsi="Arial" w:cs="Arial"/>
                <w:sz w:val="22"/>
                <w:szCs w:val="22"/>
              </w:rPr>
              <w:t>Borrowing Costs</w:t>
            </w:r>
          </w:p>
        </w:tc>
      </w:tr>
      <w:tr w:rsidR="00FA2BD6" w:rsidRPr="00CD6F4A">
        <w:tc>
          <w:tcPr>
            <w:tcW w:w="2880" w:type="dxa"/>
          </w:tcPr>
          <w:p w:rsidR="00FA2BD6" w:rsidRPr="00CD6F4A" w:rsidRDefault="00FA2BD6" w:rsidP="00E2176D">
            <w:pPr>
              <w:pStyle w:val="14"/>
              <w:tabs>
                <w:tab w:val="clear" w:pos="288"/>
                <w:tab w:val="clear" w:pos="864"/>
                <w:tab w:val="clear" w:pos="1440"/>
              </w:tabs>
              <w:rPr>
                <w:rFonts w:ascii="Arial" w:hAnsi="Arial" w:cs="Arial"/>
                <w:sz w:val="22"/>
                <w:szCs w:val="22"/>
                <w:lang w:val="en-US"/>
              </w:rPr>
            </w:pPr>
            <w:r w:rsidRPr="00CD6F4A">
              <w:rPr>
                <w:rFonts w:ascii="Arial" w:hAnsi="Arial" w:cs="Arial"/>
                <w:sz w:val="22"/>
                <w:szCs w:val="22"/>
                <w:lang w:val="en-US"/>
              </w:rPr>
              <w:t>FRS 139</w:t>
            </w:r>
          </w:p>
        </w:tc>
        <w:tc>
          <w:tcPr>
            <w:tcW w:w="5850" w:type="dxa"/>
          </w:tcPr>
          <w:p w:rsidR="00FA2BD6" w:rsidRPr="00CD6F4A" w:rsidRDefault="00E2176D" w:rsidP="00E2176D">
            <w:pPr>
              <w:pStyle w:val="14"/>
              <w:tabs>
                <w:tab w:val="clear" w:pos="288"/>
                <w:tab w:val="clear" w:pos="864"/>
                <w:tab w:val="clear" w:pos="1440"/>
              </w:tabs>
              <w:jc w:val="left"/>
              <w:rPr>
                <w:rFonts w:ascii="Times New Roman" w:hAnsi="Times New Roman"/>
                <w:lang w:val="en-US"/>
              </w:rPr>
            </w:pPr>
            <w:r w:rsidRPr="00CD6F4A">
              <w:rPr>
                <w:rFonts w:ascii="Arial" w:hAnsi="Arial" w:cs="Arial"/>
                <w:sz w:val="22"/>
                <w:szCs w:val="22"/>
                <w:lang w:val="en-US"/>
              </w:rPr>
              <w:t>Financial Instruments: Recognition and Measurement</w:t>
            </w:r>
          </w:p>
        </w:tc>
      </w:tr>
      <w:tr w:rsidR="00FA2BD6" w:rsidRPr="00CD6F4A">
        <w:tc>
          <w:tcPr>
            <w:tcW w:w="2880" w:type="dxa"/>
          </w:tcPr>
          <w:p w:rsidR="00FA2BD6" w:rsidRPr="00CD6F4A" w:rsidRDefault="00E2176D" w:rsidP="00E2176D">
            <w:pPr>
              <w:pStyle w:val="14"/>
              <w:tabs>
                <w:tab w:val="clear" w:pos="288"/>
                <w:tab w:val="clear" w:pos="864"/>
                <w:tab w:val="clear" w:pos="1440"/>
              </w:tabs>
              <w:jc w:val="left"/>
              <w:rPr>
                <w:rFonts w:ascii="Arial" w:hAnsi="Arial" w:cs="Arial"/>
                <w:sz w:val="22"/>
                <w:szCs w:val="22"/>
                <w:lang w:val="en-US"/>
              </w:rPr>
            </w:pPr>
            <w:r w:rsidRPr="00CD6F4A">
              <w:rPr>
                <w:rFonts w:ascii="Arial" w:hAnsi="Arial" w:cs="Arial"/>
                <w:sz w:val="22"/>
                <w:szCs w:val="22"/>
                <w:lang w:val="en-US"/>
              </w:rPr>
              <w:t>Amendments to FRS 1</w:t>
            </w:r>
            <w:r w:rsidR="00FA2BD6" w:rsidRPr="00CD6F4A">
              <w:rPr>
                <w:rFonts w:ascii="Arial" w:hAnsi="Arial" w:cs="Arial"/>
                <w:sz w:val="22"/>
                <w:szCs w:val="22"/>
                <w:lang w:val="en-US"/>
              </w:rPr>
              <w:t xml:space="preserve"> </w:t>
            </w:r>
          </w:p>
        </w:tc>
        <w:tc>
          <w:tcPr>
            <w:tcW w:w="5850" w:type="dxa"/>
          </w:tcPr>
          <w:p w:rsidR="00FA2BD6" w:rsidRPr="00CD6F4A" w:rsidRDefault="00E2176D" w:rsidP="00E2176D">
            <w:pPr>
              <w:pStyle w:val="14"/>
              <w:tabs>
                <w:tab w:val="clear" w:pos="288"/>
                <w:tab w:val="clear" w:pos="864"/>
                <w:tab w:val="clear" w:pos="1440"/>
              </w:tabs>
              <w:jc w:val="left"/>
              <w:rPr>
                <w:rFonts w:ascii="Times New Roman" w:hAnsi="Times New Roman"/>
                <w:lang w:val="en-US"/>
              </w:rPr>
            </w:pPr>
            <w:r w:rsidRPr="00CD6F4A">
              <w:rPr>
                <w:rFonts w:ascii="Arial" w:hAnsi="Arial" w:cs="Arial"/>
                <w:sz w:val="22"/>
                <w:szCs w:val="22"/>
                <w:lang w:val="en-US"/>
              </w:rPr>
              <w:t xml:space="preserve">First-time Adoption of Financial Reporting Standards </w:t>
            </w:r>
          </w:p>
        </w:tc>
      </w:tr>
      <w:tr w:rsidR="0079009E" w:rsidRPr="00CD6F4A">
        <w:tc>
          <w:tcPr>
            <w:tcW w:w="2880" w:type="dxa"/>
          </w:tcPr>
          <w:p w:rsidR="0079009E" w:rsidRPr="00CD6F4A" w:rsidRDefault="0079009E" w:rsidP="00C0371A">
            <w:pPr>
              <w:pStyle w:val="14"/>
              <w:rPr>
                <w:rFonts w:ascii="Arial" w:hAnsi="Arial" w:cs="Arial"/>
                <w:sz w:val="22"/>
                <w:szCs w:val="22"/>
                <w:lang w:val="en-US"/>
              </w:rPr>
            </w:pPr>
            <w:r w:rsidRPr="00CD6F4A">
              <w:rPr>
                <w:rFonts w:ascii="Arial" w:hAnsi="Arial" w:cs="Arial"/>
                <w:sz w:val="22"/>
                <w:szCs w:val="22"/>
                <w:lang w:val="en-US"/>
              </w:rPr>
              <w:t>Amendment to FRS 5</w:t>
            </w:r>
          </w:p>
        </w:tc>
        <w:tc>
          <w:tcPr>
            <w:tcW w:w="5850" w:type="dxa"/>
          </w:tcPr>
          <w:p w:rsidR="0079009E" w:rsidRPr="00CD6F4A" w:rsidRDefault="0079009E" w:rsidP="00C0371A">
            <w:pPr>
              <w:pStyle w:val="14"/>
              <w:rPr>
                <w:rFonts w:ascii="Arial" w:hAnsi="Arial" w:cs="Arial"/>
                <w:sz w:val="22"/>
                <w:szCs w:val="22"/>
              </w:rPr>
            </w:pPr>
            <w:r w:rsidRPr="00CD6F4A">
              <w:rPr>
                <w:rFonts w:ascii="Arial" w:hAnsi="Arial" w:cs="Arial"/>
                <w:sz w:val="22"/>
                <w:szCs w:val="22"/>
              </w:rPr>
              <w:t xml:space="preserve">Non-current Assets Held for </w:t>
            </w:r>
            <w:smartTag w:uri="urn:schemas-microsoft-com:office:smarttags" w:element="City">
              <w:smartTag w:uri="urn:schemas-microsoft-com:office:smarttags" w:element="place">
                <w:r w:rsidRPr="00CD6F4A">
                  <w:rPr>
                    <w:rFonts w:ascii="Arial" w:hAnsi="Arial" w:cs="Arial"/>
                    <w:sz w:val="22"/>
                    <w:szCs w:val="22"/>
                  </w:rPr>
                  <w:t>Sale</w:t>
                </w:r>
              </w:smartTag>
            </w:smartTag>
            <w:r w:rsidRPr="00CD6F4A">
              <w:rPr>
                <w:rFonts w:ascii="Arial" w:hAnsi="Arial" w:cs="Arial"/>
                <w:sz w:val="22"/>
                <w:szCs w:val="22"/>
              </w:rPr>
              <w:t xml:space="preserve"> and Discontinued </w:t>
            </w:r>
          </w:p>
          <w:p w:rsidR="0079009E" w:rsidRPr="00CD6F4A" w:rsidRDefault="0079009E" w:rsidP="00C0371A">
            <w:pPr>
              <w:pStyle w:val="14"/>
              <w:rPr>
                <w:rFonts w:ascii="Arial" w:hAnsi="Arial" w:cs="Arial"/>
                <w:sz w:val="22"/>
                <w:szCs w:val="22"/>
              </w:rPr>
            </w:pPr>
            <w:r w:rsidRPr="00CD6F4A">
              <w:rPr>
                <w:rFonts w:ascii="Arial" w:hAnsi="Arial" w:cs="Arial"/>
                <w:sz w:val="22"/>
                <w:szCs w:val="22"/>
              </w:rPr>
              <w:t xml:space="preserve"> Operations</w:t>
            </w:r>
          </w:p>
        </w:tc>
      </w:tr>
      <w:tr w:rsidR="000B1123" w:rsidRPr="00CD6F4A">
        <w:tc>
          <w:tcPr>
            <w:tcW w:w="2880" w:type="dxa"/>
          </w:tcPr>
          <w:p w:rsidR="000B1123" w:rsidRPr="00CD6F4A" w:rsidRDefault="000B1123" w:rsidP="00F1094A">
            <w:pPr>
              <w:pStyle w:val="14"/>
              <w:tabs>
                <w:tab w:val="clear" w:pos="288"/>
                <w:tab w:val="clear" w:pos="864"/>
                <w:tab w:val="clear" w:pos="1440"/>
              </w:tabs>
              <w:jc w:val="left"/>
              <w:rPr>
                <w:rFonts w:ascii="Arial" w:hAnsi="Arial" w:cs="Arial"/>
                <w:sz w:val="22"/>
                <w:szCs w:val="22"/>
                <w:lang w:val="en-US"/>
              </w:rPr>
            </w:pPr>
            <w:r w:rsidRPr="00CD6F4A">
              <w:rPr>
                <w:rFonts w:ascii="Arial" w:hAnsi="Arial" w:cs="Arial"/>
                <w:sz w:val="22"/>
                <w:szCs w:val="22"/>
                <w:lang w:val="en-US"/>
              </w:rPr>
              <w:t xml:space="preserve">Amendments to FRS 7 </w:t>
            </w:r>
          </w:p>
        </w:tc>
        <w:tc>
          <w:tcPr>
            <w:tcW w:w="5850" w:type="dxa"/>
          </w:tcPr>
          <w:p w:rsidR="000B1123" w:rsidRPr="00CD6F4A" w:rsidRDefault="000B1123" w:rsidP="00F1094A">
            <w:pPr>
              <w:pStyle w:val="14"/>
              <w:tabs>
                <w:tab w:val="clear" w:pos="288"/>
                <w:tab w:val="clear" w:pos="864"/>
                <w:tab w:val="clear" w:pos="1440"/>
              </w:tabs>
              <w:jc w:val="left"/>
              <w:rPr>
                <w:rFonts w:ascii="Times New Roman" w:hAnsi="Times New Roman"/>
              </w:rPr>
            </w:pPr>
            <w:r w:rsidRPr="00CD6F4A">
              <w:rPr>
                <w:rFonts w:ascii="Arial" w:hAnsi="Arial" w:cs="Arial"/>
                <w:sz w:val="22"/>
                <w:szCs w:val="22"/>
                <w:lang w:val="en-US"/>
              </w:rPr>
              <w:t xml:space="preserve">Financial Instruments: Disclosures </w:t>
            </w:r>
          </w:p>
        </w:tc>
      </w:tr>
      <w:tr w:rsidR="0079009E" w:rsidRPr="00CD6F4A">
        <w:tc>
          <w:tcPr>
            <w:tcW w:w="2880" w:type="dxa"/>
          </w:tcPr>
          <w:p w:rsidR="0079009E" w:rsidRPr="00CD6F4A" w:rsidRDefault="0079009E" w:rsidP="00C0371A">
            <w:pPr>
              <w:pStyle w:val="14"/>
              <w:rPr>
                <w:rFonts w:ascii="Arial" w:hAnsi="Arial" w:cs="Arial"/>
                <w:sz w:val="22"/>
                <w:szCs w:val="22"/>
                <w:lang w:val="en-US"/>
              </w:rPr>
            </w:pPr>
            <w:r w:rsidRPr="00CD6F4A">
              <w:rPr>
                <w:rFonts w:ascii="Arial" w:hAnsi="Arial" w:cs="Arial"/>
                <w:sz w:val="22"/>
                <w:szCs w:val="22"/>
                <w:lang w:val="en-US"/>
              </w:rPr>
              <w:t>Amendment to FRS 8</w:t>
            </w:r>
          </w:p>
        </w:tc>
        <w:tc>
          <w:tcPr>
            <w:tcW w:w="5850" w:type="dxa"/>
          </w:tcPr>
          <w:p w:rsidR="0079009E" w:rsidRPr="00CD6F4A" w:rsidRDefault="0079009E" w:rsidP="000552F6">
            <w:pPr>
              <w:tabs>
                <w:tab w:val="left" w:pos="360"/>
              </w:tabs>
              <w:adjustRightInd w:val="0"/>
              <w:rPr>
                <w:sz w:val="24"/>
                <w:szCs w:val="24"/>
              </w:rPr>
            </w:pPr>
            <w:r w:rsidRPr="00CD6F4A">
              <w:rPr>
                <w:rFonts w:ascii="Arial" w:hAnsi="Arial" w:cs="Arial"/>
                <w:sz w:val="22"/>
                <w:szCs w:val="22"/>
              </w:rPr>
              <w:t>Operating Segments</w:t>
            </w:r>
          </w:p>
        </w:tc>
      </w:tr>
      <w:tr w:rsidR="0079009E" w:rsidRPr="00CD6F4A">
        <w:tc>
          <w:tcPr>
            <w:tcW w:w="2880" w:type="dxa"/>
          </w:tcPr>
          <w:p w:rsidR="0079009E" w:rsidRPr="00CD6F4A" w:rsidRDefault="0079009E" w:rsidP="00C0371A">
            <w:pPr>
              <w:pStyle w:val="14"/>
              <w:rPr>
                <w:rFonts w:ascii="Arial" w:hAnsi="Arial" w:cs="Arial"/>
                <w:sz w:val="22"/>
                <w:szCs w:val="22"/>
                <w:lang w:val="en-US"/>
              </w:rPr>
            </w:pPr>
            <w:r w:rsidRPr="00CD6F4A">
              <w:rPr>
                <w:rFonts w:ascii="Arial" w:hAnsi="Arial" w:cs="Arial"/>
                <w:sz w:val="22"/>
                <w:szCs w:val="22"/>
                <w:lang w:val="en-US"/>
              </w:rPr>
              <w:t>Amendment to FRS 107</w:t>
            </w:r>
          </w:p>
        </w:tc>
        <w:tc>
          <w:tcPr>
            <w:tcW w:w="5850" w:type="dxa"/>
          </w:tcPr>
          <w:p w:rsidR="0079009E" w:rsidRPr="00CD6F4A" w:rsidRDefault="0079009E" w:rsidP="00C0371A">
            <w:pPr>
              <w:pStyle w:val="14"/>
              <w:rPr>
                <w:rFonts w:ascii="Arial" w:hAnsi="Arial" w:cs="Arial"/>
                <w:sz w:val="22"/>
                <w:szCs w:val="22"/>
              </w:rPr>
            </w:pPr>
            <w:r w:rsidRPr="00CD6F4A">
              <w:rPr>
                <w:rFonts w:ascii="Arial" w:hAnsi="Arial" w:cs="Arial"/>
                <w:sz w:val="22"/>
                <w:szCs w:val="22"/>
              </w:rPr>
              <w:t>Statement of Cash Flows</w:t>
            </w:r>
          </w:p>
        </w:tc>
      </w:tr>
      <w:tr w:rsidR="00082DE8" w:rsidRPr="00CD6F4A">
        <w:tc>
          <w:tcPr>
            <w:tcW w:w="2880" w:type="dxa"/>
          </w:tcPr>
          <w:p w:rsidR="00082DE8" w:rsidRPr="00CD6F4A" w:rsidRDefault="00082DE8" w:rsidP="00C0371A">
            <w:pPr>
              <w:pStyle w:val="14"/>
              <w:rPr>
                <w:rFonts w:ascii="Arial" w:hAnsi="Arial" w:cs="Arial"/>
                <w:sz w:val="22"/>
                <w:szCs w:val="22"/>
                <w:lang w:val="en-US"/>
              </w:rPr>
            </w:pPr>
            <w:r w:rsidRPr="00CD6F4A">
              <w:rPr>
                <w:rFonts w:ascii="Arial" w:hAnsi="Arial" w:cs="Arial"/>
                <w:sz w:val="22"/>
                <w:szCs w:val="22"/>
                <w:lang w:val="en-US"/>
              </w:rPr>
              <w:t>Amendment to FRS 108</w:t>
            </w:r>
          </w:p>
        </w:tc>
        <w:tc>
          <w:tcPr>
            <w:tcW w:w="5850" w:type="dxa"/>
          </w:tcPr>
          <w:p w:rsidR="00082DE8" w:rsidRPr="00CD6F4A" w:rsidRDefault="00082DE8" w:rsidP="00082DE8">
            <w:pPr>
              <w:pStyle w:val="14"/>
              <w:rPr>
                <w:rFonts w:ascii="Arial" w:hAnsi="Arial" w:cs="Arial"/>
                <w:sz w:val="22"/>
                <w:szCs w:val="22"/>
              </w:rPr>
            </w:pPr>
            <w:r w:rsidRPr="00CD6F4A">
              <w:rPr>
                <w:rFonts w:ascii="Arial" w:hAnsi="Arial" w:cs="Arial"/>
                <w:sz w:val="22"/>
                <w:szCs w:val="22"/>
              </w:rPr>
              <w:t xml:space="preserve">Accounting Policies, Changes in Accounting Estimates </w:t>
            </w:r>
          </w:p>
          <w:p w:rsidR="00082DE8" w:rsidRPr="00CD6F4A" w:rsidRDefault="00082DE8" w:rsidP="00082DE8">
            <w:pPr>
              <w:pStyle w:val="14"/>
              <w:rPr>
                <w:rFonts w:ascii="Arial" w:hAnsi="Arial" w:cs="Arial"/>
                <w:sz w:val="22"/>
                <w:szCs w:val="22"/>
              </w:rPr>
            </w:pPr>
            <w:r w:rsidRPr="00CD6F4A">
              <w:rPr>
                <w:rFonts w:ascii="Arial" w:hAnsi="Arial" w:cs="Arial"/>
                <w:sz w:val="22"/>
                <w:szCs w:val="22"/>
              </w:rPr>
              <w:t xml:space="preserve"> and Errors</w:t>
            </w:r>
          </w:p>
        </w:tc>
      </w:tr>
      <w:tr w:rsidR="00082DE8" w:rsidRPr="00CD6F4A">
        <w:tc>
          <w:tcPr>
            <w:tcW w:w="2880" w:type="dxa"/>
          </w:tcPr>
          <w:p w:rsidR="00082DE8" w:rsidRPr="00CD6F4A" w:rsidRDefault="00082DE8" w:rsidP="00F1094A">
            <w:pPr>
              <w:pStyle w:val="14"/>
              <w:rPr>
                <w:rFonts w:ascii="Arial" w:hAnsi="Arial" w:cs="Arial"/>
                <w:sz w:val="22"/>
                <w:szCs w:val="22"/>
                <w:lang w:val="en-US"/>
              </w:rPr>
            </w:pPr>
            <w:r w:rsidRPr="00CD6F4A">
              <w:rPr>
                <w:rFonts w:ascii="Arial" w:hAnsi="Arial" w:cs="Arial"/>
                <w:sz w:val="22"/>
                <w:szCs w:val="22"/>
                <w:lang w:val="en-US"/>
              </w:rPr>
              <w:t>Amendment to FRS 110</w:t>
            </w:r>
          </w:p>
        </w:tc>
        <w:tc>
          <w:tcPr>
            <w:tcW w:w="5850" w:type="dxa"/>
          </w:tcPr>
          <w:p w:rsidR="00082DE8" w:rsidRPr="00CD6F4A" w:rsidRDefault="00082DE8" w:rsidP="00C0371A">
            <w:pPr>
              <w:pStyle w:val="14"/>
              <w:rPr>
                <w:rFonts w:ascii="Arial" w:hAnsi="Arial" w:cs="Arial"/>
                <w:sz w:val="22"/>
                <w:szCs w:val="22"/>
              </w:rPr>
            </w:pPr>
            <w:r w:rsidRPr="00CD6F4A">
              <w:rPr>
                <w:rFonts w:ascii="Arial" w:hAnsi="Arial" w:cs="Arial"/>
                <w:sz w:val="22"/>
                <w:szCs w:val="22"/>
              </w:rPr>
              <w:t>Events after the Reporting Period</w:t>
            </w:r>
          </w:p>
        </w:tc>
      </w:tr>
      <w:tr w:rsidR="00B17EB1" w:rsidRPr="00CD6F4A">
        <w:tc>
          <w:tcPr>
            <w:tcW w:w="2880" w:type="dxa"/>
          </w:tcPr>
          <w:p w:rsidR="00B17EB1" w:rsidRPr="00CD6F4A" w:rsidRDefault="00B17EB1" w:rsidP="00F1094A">
            <w:pPr>
              <w:pStyle w:val="14"/>
              <w:rPr>
                <w:rFonts w:ascii="Arial" w:hAnsi="Arial" w:cs="Arial"/>
                <w:sz w:val="22"/>
                <w:szCs w:val="22"/>
                <w:lang w:val="en-US"/>
              </w:rPr>
            </w:pPr>
            <w:r w:rsidRPr="00CD6F4A">
              <w:rPr>
                <w:rFonts w:ascii="Arial" w:hAnsi="Arial" w:cs="Arial"/>
                <w:sz w:val="22"/>
                <w:szCs w:val="22"/>
                <w:lang w:val="en-US"/>
              </w:rPr>
              <w:t>Amendment to FRS 116</w:t>
            </w:r>
          </w:p>
        </w:tc>
        <w:tc>
          <w:tcPr>
            <w:tcW w:w="5850" w:type="dxa"/>
          </w:tcPr>
          <w:p w:rsidR="00B17EB1" w:rsidRPr="00CD6F4A" w:rsidRDefault="00B17EB1" w:rsidP="00C0371A">
            <w:pPr>
              <w:pStyle w:val="14"/>
              <w:rPr>
                <w:rFonts w:ascii="Arial" w:hAnsi="Arial" w:cs="Arial"/>
                <w:sz w:val="22"/>
                <w:szCs w:val="22"/>
                <w:lang w:val="en-US"/>
              </w:rPr>
            </w:pPr>
            <w:r w:rsidRPr="00CD6F4A">
              <w:rPr>
                <w:rFonts w:ascii="Arial" w:hAnsi="Arial" w:cs="Arial"/>
                <w:sz w:val="22"/>
                <w:szCs w:val="22"/>
                <w:lang w:val="en-US"/>
              </w:rPr>
              <w:t>Property, Plant and Equipment</w:t>
            </w:r>
          </w:p>
        </w:tc>
      </w:tr>
      <w:tr w:rsidR="00B17EB1" w:rsidRPr="00CD6F4A">
        <w:tc>
          <w:tcPr>
            <w:tcW w:w="2880" w:type="dxa"/>
          </w:tcPr>
          <w:p w:rsidR="00B17EB1" w:rsidRPr="00CD6F4A" w:rsidRDefault="00174ED9" w:rsidP="00C0371A">
            <w:pPr>
              <w:pStyle w:val="14"/>
              <w:rPr>
                <w:rFonts w:ascii="Arial" w:hAnsi="Arial" w:cs="Arial"/>
                <w:sz w:val="22"/>
                <w:szCs w:val="22"/>
                <w:lang w:val="en-US"/>
              </w:rPr>
            </w:pPr>
            <w:r w:rsidRPr="00CD6F4A">
              <w:rPr>
                <w:rFonts w:ascii="Arial" w:hAnsi="Arial" w:cs="Arial"/>
                <w:sz w:val="22"/>
                <w:szCs w:val="22"/>
                <w:lang w:val="en-US"/>
              </w:rPr>
              <w:t>Amendment to FRS 117</w:t>
            </w:r>
          </w:p>
        </w:tc>
        <w:tc>
          <w:tcPr>
            <w:tcW w:w="5850" w:type="dxa"/>
          </w:tcPr>
          <w:p w:rsidR="00B17EB1" w:rsidRPr="00CD6F4A" w:rsidRDefault="00174ED9" w:rsidP="00C0371A">
            <w:pPr>
              <w:pStyle w:val="14"/>
              <w:rPr>
                <w:rFonts w:ascii="Arial" w:hAnsi="Arial" w:cs="Arial"/>
                <w:sz w:val="22"/>
                <w:szCs w:val="22"/>
              </w:rPr>
            </w:pPr>
            <w:r w:rsidRPr="00CD6F4A">
              <w:rPr>
                <w:rFonts w:ascii="Arial" w:hAnsi="Arial" w:cs="Arial"/>
                <w:sz w:val="22"/>
                <w:szCs w:val="22"/>
              </w:rPr>
              <w:t>Leases</w:t>
            </w:r>
          </w:p>
        </w:tc>
      </w:tr>
      <w:tr w:rsidR="00B17EB1" w:rsidRPr="00CD6F4A">
        <w:tc>
          <w:tcPr>
            <w:tcW w:w="2880" w:type="dxa"/>
          </w:tcPr>
          <w:p w:rsidR="00B17EB1" w:rsidRPr="00CD6F4A" w:rsidRDefault="00DF60E7" w:rsidP="00C0371A">
            <w:pPr>
              <w:pStyle w:val="14"/>
              <w:rPr>
                <w:rFonts w:ascii="Arial" w:hAnsi="Arial" w:cs="Arial"/>
                <w:sz w:val="22"/>
                <w:szCs w:val="22"/>
                <w:lang w:val="en-US"/>
              </w:rPr>
            </w:pPr>
            <w:r w:rsidRPr="00CD6F4A">
              <w:rPr>
                <w:rFonts w:ascii="Arial" w:hAnsi="Arial" w:cs="Arial"/>
                <w:sz w:val="22"/>
                <w:szCs w:val="22"/>
                <w:lang w:val="en-US"/>
              </w:rPr>
              <w:t>Amendment to FRS 118</w:t>
            </w:r>
          </w:p>
        </w:tc>
        <w:tc>
          <w:tcPr>
            <w:tcW w:w="5850" w:type="dxa"/>
          </w:tcPr>
          <w:p w:rsidR="00B17EB1" w:rsidRPr="00CD6F4A" w:rsidRDefault="00DF60E7" w:rsidP="00C0371A">
            <w:pPr>
              <w:pStyle w:val="14"/>
              <w:rPr>
                <w:rFonts w:ascii="Arial" w:hAnsi="Arial" w:cs="Arial"/>
                <w:sz w:val="22"/>
                <w:szCs w:val="22"/>
              </w:rPr>
            </w:pPr>
            <w:r w:rsidRPr="00CD6F4A">
              <w:rPr>
                <w:rFonts w:ascii="Arial" w:hAnsi="Arial" w:cs="Arial"/>
                <w:sz w:val="22"/>
                <w:szCs w:val="22"/>
              </w:rPr>
              <w:t>Revenue</w:t>
            </w:r>
          </w:p>
        </w:tc>
      </w:tr>
      <w:tr w:rsidR="00B17EB1" w:rsidRPr="00CD6F4A">
        <w:tc>
          <w:tcPr>
            <w:tcW w:w="2880" w:type="dxa"/>
          </w:tcPr>
          <w:p w:rsidR="00B17EB1" w:rsidRPr="00CD6F4A" w:rsidRDefault="00DF60E7" w:rsidP="00C0371A">
            <w:pPr>
              <w:pStyle w:val="14"/>
              <w:rPr>
                <w:rFonts w:ascii="Arial" w:hAnsi="Arial" w:cs="Arial"/>
                <w:sz w:val="22"/>
                <w:szCs w:val="22"/>
                <w:lang w:val="en-US"/>
              </w:rPr>
            </w:pPr>
            <w:r w:rsidRPr="00CD6F4A">
              <w:rPr>
                <w:rFonts w:ascii="Arial" w:hAnsi="Arial" w:cs="Arial"/>
                <w:sz w:val="22"/>
                <w:szCs w:val="22"/>
                <w:lang w:val="en-US"/>
              </w:rPr>
              <w:t>Amendment to FRS 119</w:t>
            </w:r>
          </w:p>
        </w:tc>
        <w:tc>
          <w:tcPr>
            <w:tcW w:w="5850" w:type="dxa"/>
          </w:tcPr>
          <w:p w:rsidR="00B17EB1" w:rsidRPr="00CD6F4A" w:rsidRDefault="00DF60E7" w:rsidP="00C0371A">
            <w:pPr>
              <w:pStyle w:val="14"/>
              <w:rPr>
                <w:rFonts w:ascii="Arial" w:hAnsi="Arial" w:cs="Arial"/>
                <w:sz w:val="22"/>
                <w:szCs w:val="22"/>
              </w:rPr>
            </w:pPr>
            <w:r w:rsidRPr="00CD6F4A">
              <w:rPr>
                <w:rFonts w:ascii="Arial" w:hAnsi="Arial" w:cs="Arial"/>
                <w:sz w:val="22"/>
                <w:szCs w:val="22"/>
              </w:rPr>
              <w:t>Employee Benefits</w:t>
            </w:r>
          </w:p>
        </w:tc>
      </w:tr>
      <w:tr w:rsidR="00DF60E7" w:rsidRPr="00CD6F4A">
        <w:tc>
          <w:tcPr>
            <w:tcW w:w="2880" w:type="dxa"/>
          </w:tcPr>
          <w:p w:rsidR="00DF60E7" w:rsidRPr="00CD6F4A" w:rsidRDefault="00DF60E7" w:rsidP="00F1094A">
            <w:pPr>
              <w:pStyle w:val="14"/>
              <w:rPr>
                <w:rFonts w:ascii="Arial" w:hAnsi="Arial" w:cs="Arial"/>
                <w:sz w:val="22"/>
                <w:szCs w:val="22"/>
                <w:lang w:val="en-US"/>
              </w:rPr>
            </w:pPr>
            <w:r w:rsidRPr="00CD6F4A">
              <w:rPr>
                <w:rFonts w:ascii="Arial" w:hAnsi="Arial" w:cs="Arial"/>
                <w:sz w:val="22"/>
                <w:szCs w:val="22"/>
                <w:lang w:val="en-US"/>
              </w:rPr>
              <w:t>Amendment to FRS 123</w:t>
            </w:r>
          </w:p>
        </w:tc>
        <w:tc>
          <w:tcPr>
            <w:tcW w:w="5850" w:type="dxa"/>
          </w:tcPr>
          <w:p w:rsidR="00DF60E7" w:rsidRPr="00CD6F4A" w:rsidRDefault="00DF60E7" w:rsidP="00C0371A">
            <w:pPr>
              <w:pStyle w:val="14"/>
              <w:rPr>
                <w:rFonts w:ascii="Arial" w:hAnsi="Arial" w:cs="Arial"/>
                <w:sz w:val="22"/>
                <w:szCs w:val="22"/>
              </w:rPr>
            </w:pPr>
            <w:r w:rsidRPr="00CD6F4A">
              <w:rPr>
                <w:rFonts w:ascii="Arial" w:hAnsi="Arial" w:cs="Arial"/>
                <w:sz w:val="22"/>
                <w:szCs w:val="22"/>
              </w:rPr>
              <w:t>Borrowing Costs</w:t>
            </w:r>
          </w:p>
        </w:tc>
      </w:tr>
      <w:tr w:rsidR="00DF60E7" w:rsidRPr="00CD6F4A">
        <w:tc>
          <w:tcPr>
            <w:tcW w:w="2880" w:type="dxa"/>
          </w:tcPr>
          <w:p w:rsidR="00DF60E7" w:rsidRPr="00CD6F4A" w:rsidRDefault="004C02C4" w:rsidP="00C0371A">
            <w:pPr>
              <w:pStyle w:val="14"/>
              <w:rPr>
                <w:rFonts w:ascii="Arial" w:hAnsi="Arial" w:cs="Arial"/>
                <w:sz w:val="22"/>
                <w:szCs w:val="22"/>
                <w:lang w:val="en-US"/>
              </w:rPr>
            </w:pPr>
            <w:r w:rsidRPr="00CD6F4A">
              <w:rPr>
                <w:rFonts w:ascii="Arial" w:hAnsi="Arial" w:cs="Arial"/>
                <w:sz w:val="22"/>
                <w:szCs w:val="22"/>
                <w:lang w:val="en-US"/>
              </w:rPr>
              <w:t>Amendment</w:t>
            </w:r>
            <w:r w:rsidR="000B1123" w:rsidRPr="00CD6F4A">
              <w:rPr>
                <w:rFonts w:ascii="Arial" w:hAnsi="Arial" w:cs="Arial"/>
                <w:sz w:val="22"/>
                <w:szCs w:val="22"/>
                <w:lang w:val="en-US"/>
              </w:rPr>
              <w:t>s</w:t>
            </w:r>
            <w:r w:rsidRPr="00CD6F4A">
              <w:rPr>
                <w:rFonts w:ascii="Arial" w:hAnsi="Arial" w:cs="Arial"/>
                <w:sz w:val="22"/>
                <w:szCs w:val="22"/>
                <w:lang w:val="en-US"/>
              </w:rPr>
              <w:t xml:space="preserve"> to FRS 127</w:t>
            </w:r>
          </w:p>
        </w:tc>
        <w:tc>
          <w:tcPr>
            <w:tcW w:w="5850" w:type="dxa"/>
          </w:tcPr>
          <w:p w:rsidR="00DF60E7" w:rsidRPr="00CD6F4A" w:rsidRDefault="004C02C4" w:rsidP="00C0371A">
            <w:pPr>
              <w:pStyle w:val="14"/>
              <w:rPr>
                <w:rFonts w:ascii="Arial" w:hAnsi="Arial" w:cs="Arial"/>
                <w:sz w:val="22"/>
                <w:szCs w:val="22"/>
              </w:rPr>
            </w:pPr>
            <w:r w:rsidRPr="00CD6F4A">
              <w:rPr>
                <w:rFonts w:ascii="Arial" w:hAnsi="Arial" w:cs="Arial"/>
                <w:sz w:val="22"/>
                <w:szCs w:val="22"/>
                <w:lang w:val="en-US"/>
              </w:rPr>
              <w:t>Consolidated and Separate Financial Statements</w:t>
            </w:r>
          </w:p>
        </w:tc>
      </w:tr>
      <w:tr w:rsidR="004C02C4" w:rsidRPr="00CD6F4A">
        <w:tc>
          <w:tcPr>
            <w:tcW w:w="2880" w:type="dxa"/>
          </w:tcPr>
          <w:p w:rsidR="004C02C4" w:rsidRPr="00CD6F4A" w:rsidRDefault="004C02C4" w:rsidP="00F1094A">
            <w:pPr>
              <w:pStyle w:val="14"/>
              <w:rPr>
                <w:rFonts w:ascii="Arial" w:hAnsi="Arial" w:cs="Arial"/>
                <w:sz w:val="22"/>
                <w:szCs w:val="22"/>
                <w:lang w:val="en-US"/>
              </w:rPr>
            </w:pPr>
            <w:r w:rsidRPr="00CD6F4A">
              <w:rPr>
                <w:rFonts w:ascii="Arial" w:hAnsi="Arial" w:cs="Arial"/>
                <w:sz w:val="22"/>
                <w:szCs w:val="22"/>
                <w:lang w:val="en-US"/>
              </w:rPr>
              <w:t>Amendment to FRS 128</w:t>
            </w:r>
          </w:p>
        </w:tc>
        <w:tc>
          <w:tcPr>
            <w:tcW w:w="5850" w:type="dxa"/>
          </w:tcPr>
          <w:p w:rsidR="004C02C4" w:rsidRPr="00CD6F4A" w:rsidRDefault="004C02C4" w:rsidP="00C0371A">
            <w:pPr>
              <w:pStyle w:val="14"/>
              <w:rPr>
                <w:rFonts w:ascii="Arial" w:hAnsi="Arial" w:cs="Arial"/>
                <w:sz w:val="22"/>
                <w:szCs w:val="22"/>
              </w:rPr>
            </w:pPr>
            <w:r w:rsidRPr="00CD6F4A">
              <w:rPr>
                <w:rFonts w:ascii="Arial" w:hAnsi="Arial" w:cs="Arial"/>
                <w:sz w:val="22"/>
                <w:szCs w:val="22"/>
              </w:rPr>
              <w:t>Investment</w:t>
            </w:r>
            <w:r w:rsidR="003C1544" w:rsidRPr="00CD6F4A">
              <w:rPr>
                <w:rFonts w:ascii="Arial" w:hAnsi="Arial" w:cs="Arial"/>
                <w:sz w:val="22"/>
                <w:szCs w:val="22"/>
              </w:rPr>
              <w:t>s in Associates</w:t>
            </w:r>
          </w:p>
        </w:tc>
      </w:tr>
      <w:tr w:rsidR="004C02C4" w:rsidRPr="00CD6F4A">
        <w:tc>
          <w:tcPr>
            <w:tcW w:w="2880" w:type="dxa"/>
          </w:tcPr>
          <w:p w:rsidR="004C02C4" w:rsidRPr="00CD6F4A" w:rsidRDefault="004C02C4" w:rsidP="00F1094A">
            <w:pPr>
              <w:pStyle w:val="14"/>
              <w:rPr>
                <w:rFonts w:ascii="Arial" w:hAnsi="Arial" w:cs="Arial"/>
                <w:sz w:val="22"/>
                <w:szCs w:val="22"/>
                <w:lang w:val="en-US"/>
              </w:rPr>
            </w:pPr>
            <w:r w:rsidRPr="00CD6F4A">
              <w:rPr>
                <w:rFonts w:ascii="Arial" w:hAnsi="Arial" w:cs="Arial"/>
                <w:sz w:val="22"/>
                <w:szCs w:val="22"/>
                <w:lang w:val="en-US"/>
              </w:rPr>
              <w:t>Amendment to FRS 131</w:t>
            </w:r>
          </w:p>
        </w:tc>
        <w:tc>
          <w:tcPr>
            <w:tcW w:w="5850" w:type="dxa"/>
          </w:tcPr>
          <w:p w:rsidR="004C02C4" w:rsidRPr="00CD6F4A" w:rsidRDefault="004C02C4" w:rsidP="00C0371A">
            <w:pPr>
              <w:pStyle w:val="14"/>
              <w:rPr>
                <w:rFonts w:ascii="Arial" w:hAnsi="Arial" w:cs="Arial"/>
                <w:sz w:val="22"/>
                <w:szCs w:val="22"/>
              </w:rPr>
            </w:pPr>
            <w:r w:rsidRPr="00CD6F4A">
              <w:rPr>
                <w:rFonts w:ascii="Arial" w:hAnsi="Arial" w:cs="Arial"/>
                <w:sz w:val="22"/>
                <w:szCs w:val="22"/>
              </w:rPr>
              <w:t>Interests in Joint Ventures</w:t>
            </w:r>
          </w:p>
        </w:tc>
      </w:tr>
      <w:tr w:rsidR="000B1123" w:rsidRPr="00CD6F4A">
        <w:tc>
          <w:tcPr>
            <w:tcW w:w="2880" w:type="dxa"/>
          </w:tcPr>
          <w:p w:rsidR="000B1123" w:rsidRPr="00CD6F4A" w:rsidRDefault="000B1123" w:rsidP="00F1094A">
            <w:pPr>
              <w:pStyle w:val="14"/>
              <w:tabs>
                <w:tab w:val="clear" w:pos="288"/>
                <w:tab w:val="clear" w:pos="864"/>
                <w:tab w:val="clear" w:pos="1440"/>
              </w:tabs>
              <w:jc w:val="left"/>
              <w:rPr>
                <w:rFonts w:ascii="Arial" w:hAnsi="Arial" w:cs="Arial"/>
                <w:sz w:val="22"/>
                <w:szCs w:val="22"/>
                <w:lang w:val="en-US"/>
              </w:rPr>
            </w:pPr>
            <w:r w:rsidRPr="00CD6F4A">
              <w:rPr>
                <w:rFonts w:ascii="Arial" w:hAnsi="Arial" w:cs="Arial"/>
                <w:sz w:val="22"/>
                <w:szCs w:val="22"/>
                <w:lang w:val="en-US"/>
              </w:rPr>
              <w:t>Amendments to FRS 132</w:t>
            </w:r>
          </w:p>
        </w:tc>
        <w:tc>
          <w:tcPr>
            <w:tcW w:w="5850" w:type="dxa"/>
          </w:tcPr>
          <w:p w:rsidR="000B1123" w:rsidRPr="00CD6F4A" w:rsidRDefault="000B1123" w:rsidP="00F1094A">
            <w:pPr>
              <w:pStyle w:val="14"/>
              <w:tabs>
                <w:tab w:val="clear" w:pos="288"/>
                <w:tab w:val="clear" w:pos="864"/>
                <w:tab w:val="clear" w:pos="1440"/>
              </w:tabs>
              <w:jc w:val="left"/>
              <w:rPr>
                <w:rFonts w:ascii="Times New Roman" w:hAnsi="Times New Roman"/>
              </w:rPr>
            </w:pPr>
            <w:r w:rsidRPr="00CD6F4A">
              <w:rPr>
                <w:rFonts w:ascii="Arial" w:hAnsi="Arial" w:cs="Arial"/>
                <w:sz w:val="22"/>
                <w:szCs w:val="22"/>
                <w:lang w:val="en-US"/>
              </w:rPr>
              <w:t>Financial Instruments: Presentation</w:t>
            </w:r>
          </w:p>
        </w:tc>
      </w:tr>
      <w:tr w:rsidR="004C02C4" w:rsidRPr="00CD6F4A">
        <w:tc>
          <w:tcPr>
            <w:tcW w:w="2880" w:type="dxa"/>
          </w:tcPr>
          <w:p w:rsidR="004C02C4" w:rsidRPr="00CD6F4A" w:rsidRDefault="009C578F" w:rsidP="00C0371A">
            <w:pPr>
              <w:pStyle w:val="14"/>
              <w:rPr>
                <w:rFonts w:ascii="Arial" w:hAnsi="Arial" w:cs="Arial"/>
                <w:sz w:val="22"/>
                <w:szCs w:val="22"/>
                <w:lang w:val="en-US"/>
              </w:rPr>
            </w:pPr>
            <w:r w:rsidRPr="00CD6F4A">
              <w:rPr>
                <w:rFonts w:ascii="Arial" w:hAnsi="Arial" w:cs="Arial"/>
                <w:sz w:val="22"/>
                <w:szCs w:val="22"/>
                <w:lang w:val="en-US"/>
              </w:rPr>
              <w:t>Amendment to FRS 134</w:t>
            </w:r>
          </w:p>
        </w:tc>
        <w:tc>
          <w:tcPr>
            <w:tcW w:w="5850" w:type="dxa"/>
          </w:tcPr>
          <w:p w:rsidR="004C02C4" w:rsidRPr="00CD6F4A" w:rsidRDefault="009C578F" w:rsidP="00C0371A">
            <w:pPr>
              <w:pStyle w:val="14"/>
              <w:rPr>
                <w:rFonts w:ascii="Arial" w:hAnsi="Arial" w:cs="Arial"/>
                <w:sz w:val="22"/>
                <w:szCs w:val="22"/>
              </w:rPr>
            </w:pPr>
            <w:r w:rsidRPr="00CD6F4A">
              <w:rPr>
                <w:rFonts w:ascii="Arial" w:hAnsi="Arial" w:cs="Arial"/>
                <w:sz w:val="22"/>
                <w:szCs w:val="22"/>
              </w:rPr>
              <w:t>Interim Financial Reporting</w:t>
            </w:r>
          </w:p>
        </w:tc>
      </w:tr>
      <w:tr w:rsidR="004C02C4" w:rsidRPr="00CD6F4A">
        <w:tc>
          <w:tcPr>
            <w:tcW w:w="2880" w:type="dxa"/>
          </w:tcPr>
          <w:p w:rsidR="004C02C4" w:rsidRPr="00CD6F4A" w:rsidRDefault="009C578F" w:rsidP="00C0371A">
            <w:pPr>
              <w:pStyle w:val="14"/>
              <w:rPr>
                <w:rFonts w:ascii="Arial" w:hAnsi="Arial" w:cs="Arial"/>
                <w:sz w:val="22"/>
                <w:szCs w:val="22"/>
                <w:lang w:val="en-US"/>
              </w:rPr>
            </w:pPr>
            <w:r w:rsidRPr="00CD6F4A">
              <w:rPr>
                <w:rFonts w:ascii="Arial" w:hAnsi="Arial" w:cs="Arial"/>
                <w:sz w:val="22"/>
                <w:szCs w:val="22"/>
                <w:lang w:val="en-US"/>
              </w:rPr>
              <w:t>Amendment to FRS 136</w:t>
            </w:r>
          </w:p>
        </w:tc>
        <w:tc>
          <w:tcPr>
            <w:tcW w:w="5850" w:type="dxa"/>
          </w:tcPr>
          <w:p w:rsidR="004C02C4" w:rsidRPr="00CD6F4A" w:rsidRDefault="009C578F" w:rsidP="00C0371A">
            <w:pPr>
              <w:pStyle w:val="14"/>
              <w:rPr>
                <w:rFonts w:ascii="Arial" w:hAnsi="Arial" w:cs="Arial"/>
                <w:sz w:val="22"/>
                <w:szCs w:val="22"/>
              </w:rPr>
            </w:pPr>
            <w:r w:rsidRPr="00CD6F4A">
              <w:rPr>
                <w:rFonts w:ascii="Arial" w:hAnsi="Arial" w:cs="Arial"/>
                <w:sz w:val="22"/>
                <w:szCs w:val="22"/>
              </w:rPr>
              <w:t>Impairment of Assets</w:t>
            </w:r>
          </w:p>
        </w:tc>
      </w:tr>
      <w:tr w:rsidR="000B1123" w:rsidRPr="00CD6F4A">
        <w:tc>
          <w:tcPr>
            <w:tcW w:w="2880" w:type="dxa"/>
          </w:tcPr>
          <w:p w:rsidR="000B1123" w:rsidRPr="00CD6F4A" w:rsidRDefault="000B1123" w:rsidP="00F1094A">
            <w:pPr>
              <w:pStyle w:val="14"/>
              <w:tabs>
                <w:tab w:val="clear" w:pos="288"/>
                <w:tab w:val="clear" w:pos="864"/>
                <w:tab w:val="clear" w:pos="1440"/>
              </w:tabs>
              <w:jc w:val="left"/>
              <w:rPr>
                <w:rFonts w:ascii="Arial" w:hAnsi="Arial" w:cs="Arial"/>
                <w:sz w:val="22"/>
                <w:szCs w:val="22"/>
                <w:lang w:val="en-US"/>
              </w:rPr>
            </w:pPr>
            <w:r w:rsidRPr="00CD6F4A">
              <w:rPr>
                <w:rFonts w:ascii="Arial" w:hAnsi="Arial" w:cs="Arial"/>
                <w:sz w:val="22"/>
                <w:szCs w:val="22"/>
                <w:lang w:val="en-US"/>
              </w:rPr>
              <w:t>Amendments to FRS 139</w:t>
            </w:r>
          </w:p>
        </w:tc>
        <w:tc>
          <w:tcPr>
            <w:tcW w:w="5850" w:type="dxa"/>
          </w:tcPr>
          <w:p w:rsidR="000B1123" w:rsidRPr="00CD6F4A" w:rsidRDefault="000B1123" w:rsidP="00F1094A">
            <w:pPr>
              <w:pStyle w:val="14"/>
              <w:tabs>
                <w:tab w:val="clear" w:pos="288"/>
                <w:tab w:val="clear" w:pos="864"/>
                <w:tab w:val="clear" w:pos="1440"/>
              </w:tabs>
              <w:jc w:val="left"/>
              <w:rPr>
                <w:rFonts w:ascii="Times New Roman" w:hAnsi="Times New Roman"/>
              </w:rPr>
            </w:pPr>
            <w:r w:rsidRPr="00CD6F4A">
              <w:rPr>
                <w:rFonts w:ascii="Arial" w:hAnsi="Arial" w:cs="Arial"/>
                <w:sz w:val="22"/>
                <w:szCs w:val="22"/>
                <w:lang w:val="en-US"/>
              </w:rPr>
              <w:t xml:space="preserve">Financial Instruments: Recognition </w:t>
            </w:r>
            <w:r w:rsidR="003C1544" w:rsidRPr="00CD6F4A">
              <w:rPr>
                <w:rFonts w:ascii="Arial" w:hAnsi="Arial" w:cs="Arial"/>
                <w:sz w:val="22"/>
                <w:szCs w:val="22"/>
                <w:lang w:val="en-US"/>
              </w:rPr>
              <w:t xml:space="preserve">and </w:t>
            </w:r>
            <w:r w:rsidRPr="00CD6F4A">
              <w:rPr>
                <w:rFonts w:ascii="Arial" w:hAnsi="Arial" w:cs="Arial"/>
                <w:sz w:val="22"/>
                <w:szCs w:val="22"/>
                <w:lang w:val="en-US"/>
              </w:rPr>
              <w:t>Measurement</w:t>
            </w:r>
          </w:p>
        </w:tc>
      </w:tr>
      <w:tr w:rsidR="004C02C4" w:rsidRPr="00CD6F4A">
        <w:tc>
          <w:tcPr>
            <w:tcW w:w="2880" w:type="dxa"/>
          </w:tcPr>
          <w:p w:rsidR="004C02C4" w:rsidRPr="00CD6F4A" w:rsidRDefault="004C02C4" w:rsidP="00FA2BD6">
            <w:pPr>
              <w:pStyle w:val="CommentText"/>
              <w:tabs>
                <w:tab w:val="left" w:pos="288"/>
                <w:tab w:val="left" w:pos="864"/>
                <w:tab w:val="left" w:pos="1440"/>
              </w:tabs>
              <w:autoSpaceDE w:val="0"/>
              <w:autoSpaceDN w:val="0"/>
              <w:rPr>
                <w:rFonts w:ascii="Arial" w:hAnsi="Arial" w:cs="Arial"/>
                <w:sz w:val="22"/>
                <w:szCs w:val="22"/>
              </w:rPr>
            </w:pPr>
            <w:r w:rsidRPr="00CD6F4A">
              <w:rPr>
                <w:rFonts w:ascii="Arial" w:hAnsi="Arial" w:cs="Arial"/>
                <w:sz w:val="22"/>
                <w:szCs w:val="22"/>
              </w:rPr>
              <w:t>IC Interpretation 9</w:t>
            </w:r>
          </w:p>
        </w:tc>
        <w:tc>
          <w:tcPr>
            <w:tcW w:w="5850" w:type="dxa"/>
          </w:tcPr>
          <w:p w:rsidR="004C02C4" w:rsidRPr="00CD6F4A" w:rsidRDefault="004C02C4" w:rsidP="00E2176D">
            <w:pPr>
              <w:pStyle w:val="CommentText"/>
              <w:autoSpaceDE w:val="0"/>
              <w:autoSpaceDN w:val="0"/>
              <w:rPr>
                <w:lang w:val="en-GB"/>
              </w:rPr>
            </w:pPr>
            <w:r w:rsidRPr="00CD6F4A">
              <w:rPr>
                <w:rFonts w:ascii="Arial" w:hAnsi="Arial" w:cs="Arial"/>
                <w:sz w:val="22"/>
                <w:szCs w:val="22"/>
              </w:rPr>
              <w:t>Reassessment of Embedded Derivatives</w:t>
            </w:r>
          </w:p>
        </w:tc>
      </w:tr>
      <w:tr w:rsidR="004C02C4" w:rsidRPr="00CD6F4A">
        <w:tc>
          <w:tcPr>
            <w:tcW w:w="2880" w:type="dxa"/>
          </w:tcPr>
          <w:p w:rsidR="004C02C4" w:rsidRPr="00CD6F4A" w:rsidRDefault="004C02C4" w:rsidP="00FA2BD6">
            <w:pPr>
              <w:pStyle w:val="CommentText"/>
              <w:tabs>
                <w:tab w:val="left" w:pos="288"/>
                <w:tab w:val="left" w:pos="864"/>
                <w:tab w:val="left" w:pos="1440"/>
              </w:tabs>
              <w:autoSpaceDE w:val="0"/>
              <w:autoSpaceDN w:val="0"/>
              <w:rPr>
                <w:rFonts w:ascii="Arial" w:hAnsi="Arial" w:cs="Arial"/>
                <w:sz w:val="22"/>
                <w:szCs w:val="22"/>
              </w:rPr>
            </w:pPr>
            <w:r w:rsidRPr="00CD6F4A">
              <w:rPr>
                <w:rFonts w:ascii="Arial" w:hAnsi="Arial" w:cs="Arial"/>
                <w:sz w:val="22"/>
                <w:szCs w:val="22"/>
              </w:rPr>
              <w:t>IC Interpretation 10</w:t>
            </w:r>
          </w:p>
        </w:tc>
        <w:tc>
          <w:tcPr>
            <w:tcW w:w="5850" w:type="dxa"/>
          </w:tcPr>
          <w:p w:rsidR="004C02C4" w:rsidRPr="00CD6F4A" w:rsidRDefault="004C02C4" w:rsidP="00E2176D">
            <w:pPr>
              <w:pStyle w:val="CommentText"/>
              <w:autoSpaceDE w:val="0"/>
              <w:autoSpaceDN w:val="0"/>
              <w:rPr>
                <w:lang w:val="en-GB"/>
              </w:rPr>
            </w:pPr>
            <w:r w:rsidRPr="00CD6F4A">
              <w:rPr>
                <w:rFonts w:ascii="Arial" w:hAnsi="Arial" w:cs="Arial"/>
                <w:sz w:val="22"/>
                <w:szCs w:val="22"/>
              </w:rPr>
              <w:t>Interim Financial Reporting and Impairment</w:t>
            </w:r>
          </w:p>
        </w:tc>
      </w:tr>
      <w:tr w:rsidR="000B1123" w:rsidRPr="00CD6F4A">
        <w:tc>
          <w:tcPr>
            <w:tcW w:w="2880" w:type="dxa"/>
          </w:tcPr>
          <w:p w:rsidR="000B1123" w:rsidRPr="00CD6F4A" w:rsidRDefault="000B1123" w:rsidP="000B1123">
            <w:pPr>
              <w:pStyle w:val="CommentText"/>
              <w:tabs>
                <w:tab w:val="left" w:pos="288"/>
                <w:tab w:val="left" w:pos="864"/>
                <w:tab w:val="left" w:pos="1440"/>
              </w:tabs>
              <w:rPr>
                <w:rFonts w:ascii="Arial" w:hAnsi="Arial" w:cs="Arial"/>
                <w:sz w:val="22"/>
                <w:szCs w:val="22"/>
              </w:rPr>
            </w:pPr>
            <w:r w:rsidRPr="00CD6F4A">
              <w:rPr>
                <w:rFonts w:ascii="Arial" w:hAnsi="Arial" w:cs="Arial"/>
                <w:sz w:val="22"/>
                <w:szCs w:val="22"/>
              </w:rPr>
              <w:t xml:space="preserve">Amendments to IC </w:t>
            </w:r>
          </w:p>
          <w:p w:rsidR="000B1123" w:rsidRPr="00CD6F4A" w:rsidRDefault="000B1123" w:rsidP="000B1123">
            <w:pPr>
              <w:pStyle w:val="CommentText"/>
              <w:tabs>
                <w:tab w:val="left" w:pos="288"/>
                <w:tab w:val="left" w:pos="864"/>
                <w:tab w:val="left" w:pos="1440"/>
              </w:tabs>
              <w:rPr>
                <w:rFonts w:ascii="Arial" w:hAnsi="Arial" w:cs="Arial"/>
                <w:sz w:val="22"/>
                <w:szCs w:val="22"/>
              </w:rPr>
            </w:pPr>
            <w:r w:rsidRPr="00CD6F4A">
              <w:rPr>
                <w:rFonts w:ascii="Arial" w:hAnsi="Arial" w:cs="Arial"/>
                <w:sz w:val="22"/>
                <w:szCs w:val="22"/>
              </w:rPr>
              <w:t xml:space="preserve"> Interpretation 9  </w:t>
            </w:r>
          </w:p>
        </w:tc>
        <w:tc>
          <w:tcPr>
            <w:tcW w:w="5850" w:type="dxa"/>
          </w:tcPr>
          <w:p w:rsidR="000B1123" w:rsidRPr="00CD6F4A" w:rsidRDefault="000B1123" w:rsidP="000B1123">
            <w:pPr>
              <w:pStyle w:val="CommentText"/>
              <w:rPr>
                <w:rFonts w:ascii="Arial" w:hAnsi="Arial" w:cs="Arial"/>
                <w:sz w:val="22"/>
                <w:szCs w:val="22"/>
              </w:rPr>
            </w:pPr>
            <w:r w:rsidRPr="00CD6F4A">
              <w:rPr>
                <w:rFonts w:ascii="Arial" w:hAnsi="Arial" w:cs="Arial"/>
                <w:sz w:val="22"/>
                <w:szCs w:val="22"/>
              </w:rPr>
              <w:t>Reassessment of  Embedded Derivatives</w:t>
            </w:r>
          </w:p>
        </w:tc>
      </w:tr>
    </w:tbl>
    <w:p w:rsidR="00FA2BD6" w:rsidRPr="00CD6F4A" w:rsidRDefault="00FA2BD6" w:rsidP="00336F10">
      <w:pPr>
        <w:pStyle w:val="BodyTextIndent"/>
        <w:ind w:left="720" w:firstLine="0"/>
        <w:rPr>
          <w:sz w:val="22"/>
          <w:szCs w:val="22"/>
        </w:rPr>
      </w:pPr>
    </w:p>
    <w:p w:rsidR="00164CC7" w:rsidRPr="00CD6F4A" w:rsidRDefault="00164CC7" w:rsidP="00336F10">
      <w:pPr>
        <w:pStyle w:val="BodyTextIndent"/>
        <w:ind w:left="720" w:firstLine="0"/>
        <w:rPr>
          <w:rFonts w:cs="Arial"/>
          <w:sz w:val="22"/>
          <w:szCs w:val="22"/>
        </w:rPr>
      </w:pPr>
      <w:r w:rsidRPr="00CD6F4A">
        <w:rPr>
          <w:rFonts w:cs="Arial"/>
          <w:sz w:val="22"/>
          <w:szCs w:val="22"/>
        </w:rPr>
        <w:t>The initial application of the above new and revised FRSs, IC Interpretations and amendments t</w:t>
      </w:r>
      <w:r w:rsidR="003C1544" w:rsidRPr="00CD6F4A">
        <w:rPr>
          <w:rFonts w:cs="Arial"/>
          <w:sz w:val="22"/>
          <w:szCs w:val="22"/>
        </w:rPr>
        <w:t xml:space="preserve">o FRSs and IC Interpretations do </w:t>
      </w:r>
      <w:r w:rsidRPr="00CD6F4A">
        <w:rPr>
          <w:rFonts w:cs="Arial"/>
          <w:sz w:val="22"/>
          <w:szCs w:val="22"/>
        </w:rPr>
        <w:t xml:space="preserve">not have any significant impact </w:t>
      </w:r>
      <w:r w:rsidR="00CE00F2" w:rsidRPr="00CD6F4A">
        <w:rPr>
          <w:rFonts w:cs="Arial"/>
          <w:sz w:val="22"/>
          <w:szCs w:val="22"/>
        </w:rPr>
        <w:t>on the financial statement</w:t>
      </w:r>
      <w:r w:rsidR="003C1544" w:rsidRPr="00CD6F4A">
        <w:rPr>
          <w:rFonts w:cs="Arial"/>
          <w:sz w:val="22"/>
          <w:szCs w:val="22"/>
        </w:rPr>
        <w:t>s</w:t>
      </w:r>
      <w:r w:rsidR="00CE00F2" w:rsidRPr="00CD6F4A">
        <w:rPr>
          <w:rFonts w:cs="Arial"/>
          <w:sz w:val="22"/>
          <w:szCs w:val="22"/>
        </w:rPr>
        <w:t xml:space="preserve"> of the Group other than as explained below</w:t>
      </w:r>
      <w:r w:rsidRPr="00CD6F4A">
        <w:rPr>
          <w:rFonts w:cs="Arial"/>
          <w:sz w:val="22"/>
          <w:szCs w:val="22"/>
        </w:rPr>
        <w:t>:</w:t>
      </w:r>
      <w:r w:rsidR="007F6EBF" w:rsidRPr="00CD6F4A">
        <w:rPr>
          <w:rFonts w:cs="Arial"/>
          <w:sz w:val="22"/>
          <w:szCs w:val="22"/>
        </w:rPr>
        <w:t>-</w:t>
      </w:r>
    </w:p>
    <w:p w:rsidR="00164CC7" w:rsidRPr="00CD6F4A" w:rsidRDefault="00164CC7" w:rsidP="00336F10">
      <w:pPr>
        <w:pStyle w:val="BodyTextIndent"/>
        <w:ind w:left="720" w:firstLine="0"/>
        <w:rPr>
          <w:rFonts w:cs="Arial"/>
          <w:sz w:val="22"/>
          <w:szCs w:val="22"/>
        </w:rPr>
      </w:pPr>
    </w:p>
    <w:p w:rsidR="00164CC7" w:rsidRPr="00CD6F4A" w:rsidRDefault="00D94D70" w:rsidP="00336F10">
      <w:pPr>
        <w:pStyle w:val="BodyTextIndent"/>
        <w:ind w:left="720" w:firstLine="0"/>
        <w:rPr>
          <w:rFonts w:cs="Arial"/>
          <w:sz w:val="22"/>
          <w:szCs w:val="22"/>
        </w:rPr>
      </w:pPr>
      <w:r w:rsidRPr="00CD6F4A">
        <w:rPr>
          <w:rFonts w:cs="Arial"/>
          <w:sz w:val="22"/>
          <w:szCs w:val="22"/>
        </w:rPr>
        <w:t>(a)</w:t>
      </w:r>
      <w:r w:rsidRPr="00CD6F4A">
        <w:rPr>
          <w:rFonts w:cs="Arial"/>
          <w:sz w:val="22"/>
          <w:szCs w:val="22"/>
        </w:rPr>
        <w:tab/>
        <w:t xml:space="preserve">FRS 101 </w:t>
      </w:r>
      <w:r w:rsidRPr="00CD6F4A">
        <w:rPr>
          <w:rFonts w:cs="Arial"/>
          <w:i/>
          <w:sz w:val="22"/>
          <w:szCs w:val="22"/>
        </w:rPr>
        <w:t>Presentation of Financial Statements (revised)</w:t>
      </w:r>
    </w:p>
    <w:p w:rsidR="00D94D70" w:rsidRPr="00CD6F4A" w:rsidRDefault="00D94D70" w:rsidP="00336F10">
      <w:pPr>
        <w:pStyle w:val="BodyTextIndent"/>
        <w:ind w:left="720" w:firstLine="0"/>
        <w:rPr>
          <w:rFonts w:cs="Arial"/>
          <w:sz w:val="22"/>
          <w:szCs w:val="22"/>
        </w:rPr>
      </w:pPr>
    </w:p>
    <w:p w:rsidR="00D94D70" w:rsidRPr="00CD6F4A" w:rsidRDefault="00D94D70" w:rsidP="00D94D70">
      <w:pPr>
        <w:pStyle w:val="BodyTextIndent"/>
        <w:ind w:left="1440" w:firstLine="0"/>
        <w:rPr>
          <w:rFonts w:cs="Arial"/>
          <w:sz w:val="22"/>
          <w:szCs w:val="22"/>
        </w:rPr>
      </w:pPr>
      <w:r w:rsidRPr="00CD6F4A">
        <w:rPr>
          <w:rFonts w:cs="Arial"/>
          <w:sz w:val="22"/>
          <w:szCs w:val="22"/>
        </w:rPr>
        <w:t>This Standard introduces the titles ‘statement of financial position’ and ‘statement of cash flows’ to replace the current titles ‘balance sheet’ and ‘cash flow statement’ respectively. A new statement known as the ‘statement of comprehensive income’ is also introduced in this Standard whereby all non-owner changes in equity are required to be presented in either one statement of comprehensive income or in two statements (i.e. a separate income statement and a statement of comprehensive income). Components of comprehensive income are not permitted to be presented in the statement of changes in equity.</w:t>
      </w:r>
    </w:p>
    <w:p w:rsidR="00D94D70" w:rsidRPr="00CD6F4A" w:rsidRDefault="00D94D70" w:rsidP="00336F10">
      <w:pPr>
        <w:pStyle w:val="BodyTextIndent"/>
        <w:ind w:left="720" w:firstLine="0"/>
        <w:rPr>
          <w:rFonts w:cs="Arial"/>
          <w:sz w:val="22"/>
          <w:szCs w:val="22"/>
        </w:rPr>
      </w:pPr>
    </w:p>
    <w:p w:rsidR="00D94D70" w:rsidRPr="00CD6F4A" w:rsidRDefault="00E070EF" w:rsidP="00336F10">
      <w:pPr>
        <w:pStyle w:val="BodyTextIndent"/>
        <w:ind w:left="720" w:firstLine="0"/>
        <w:rPr>
          <w:rFonts w:cs="Arial"/>
          <w:sz w:val="22"/>
          <w:szCs w:val="22"/>
        </w:rPr>
      </w:pPr>
      <w:r w:rsidRPr="00CD6F4A">
        <w:rPr>
          <w:rFonts w:cs="Arial"/>
          <w:sz w:val="22"/>
          <w:szCs w:val="22"/>
        </w:rPr>
        <w:t>(b)</w:t>
      </w:r>
      <w:r w:rsidRPr="00CD6F4A">
        <w:rPr>
          <w:rFonts w:cs="Arial"/>
          <w:sz w:val="22"/>
          <w:szCs w:val="22"/>
        </w:rPr>
        <w:tab/>
        <w:t xml:space="preserve">Amendment to FRS 117 </w:t>
      </w:r>
      <w:r w:rsidRPr="00CD6F4A">
        <w:rPr>
          <w:rFonts w:cs="Arial"/>
          <w:i/>
          <w:sz w:val="22"/>
          <w:szCs w:val="22"/>
        </w:rPr>
        <w:t>Leases</w:t>
      </w:r>
    </w:p>
    <w:p w:rsidR="00D94D70" w:rsidRPr="00CD6F4A" w:rsidRDefault="00D94D70" w:rsidP="00336F10">
      <w:pPr>
        <w:pStyle w:val="BodyTextIndent"/>
        <w:ind w:left="720" w:firstLine="0"/>
        <w:rPr>
          <w:rFonts w:cs="Arial"/>
          <w:sz w:val="22"/>
          <w:szCs w:val="22"/>
        </w:rPr>
      </w:pPr>
    </w:p>
    <w:p w:rsidR="00D94D70" w:rsidRPr="00CD6F4A" w:rsidRDefault="00E070EF" w:rsidP="00E070EF">
      <w:pPr>
        <w:pStyle w:val="BodyTextIndent"/>
        <w:ind w:left="1440" w:firstLine="0"/>
        <w:rPr>
          <w:rFonts w:cs="Arial"/>
          <w:sz w:val="22"/>
          <w:szCs w:val="22"/>
        </w:rPr>
      </w:pPr>
      <w:r w:rsidRPr="00CD6F4A">
        <w:rPr>
          <w:rFonts w:cs="Arial"/>
          <w:sz w:val="22"/>
          <w:szCs w:val="22"/>
        </w:rPr>
        <w:t>This amendment</w:t>
      </w:r>
      <w:r w:rsidRPr="00CD6F4A">
        <w:rPr>
          <w:rFonts w:cs="Arial"/>
          <w:i/>
          <w:sz w:val="22"/>
          <w:szCs w:val="22"/>
        </w:rPr>
        <w:t xml:space="preserve"> </w:t>
      </w:r>
      <w:r w:rsidRPr="00CD6F4A">
        <w:rPr>
          <w:rFonts w:cs="Arial"/>
          <w:sz w:val="22"/>
          <w:szCs w:val="22"/>
        </w:rPr>
        <w:t xml:space="preserve">removes the classification of leases of land and of buildings, and instead, requires assessment of classification based on the risks and rewards of the lease itself. The reassessment of land elements of unexpired leases shall be made retrospectively in accordance with FRS 108. The Group </w:t>
      </w:r>
      <w:r w:rsidR="008D4BD5" w:rsidRPr="00CD6F4A">
        <w:rPr>
          <w:rFonts w:cs="Arial"/>
          <w:sz w:val="22"/>
          <w:szCs w:val="22"/>
        </w:rPr>
        <w:t xml:space="preserve">has reassessed and determined that all leasehold land of the Group are in substance finance leases and has reclassified the leasehold land from prepaid lease payments for land to property, plant and equipment. </w:t>
      </w:r>
    </w:p>
    <w:p w:rsidR="00D94D70" w:rsidRPr="00CD6F4A" w:rsidRDefault="00D94D70" w:rsidP="00336F10">
      <w:pPr>
        <w:pStyle w:val="BodyTextIndent"/>
        <w:ind w:left="720" w:firstLine="0"/>
        <w:rPr>
          <w:rFonts w:cs="Arial"/>
          <w:sz w:val="22"/>
          <w:szCs w:val="22"/>
        </w:rPr>
      </w:pPr>
    </w:p>
    <w:p w:rsidR="008D4BD5" w:rsidRPr="00CD6F4A" w:rsidRDefault="008D4BD5" w:rsidP="008D4BD5">
      <w:pPr>
        <w:pStyle w:val="BodyTextIndent"/>
        <w:ind w:left="1440" w:firstLine="0"/>
        <w:rPr>
          <w:rFonts w:cs="Arial"/>
          <w:sz w:val="22"/>
          <w:szCs w:val="22"/>
        </w:rPr>
      </w:pPr>
      <w:r w:rsidRPr="00CD6F4A">
        <w:rPr>
          <w:rFonts w:cs="Arial"/>
          <w:sz w:val="22"/>
          <w:szCs w:val="22"/>
        </w:rPr>
        <w:t>The reclassification has been made retrospectively and the comparative figures have been restated as follows:-</w:t>
      </w:r>
    </w:p>
    <w:p w:rsidR="008D4BD5" w:rsidRPr="00CD6F4A" w:rsidRDefault="008D4BD5" w:rsidP="00336F10">
      <w:pPr>
        <w:pStyle w:val="BodyTextIndent"/>
        <w:ind w:left="720" w:firstLine="0"/>
        <w:rPr>
          <w:rFonts w:cs="Arial"/>
          <w:sz w:val="22"/>
          <w:szCs w:val="22"/>
        </w:rPr>
      </w:pPr>
      <w:r w:rsidRPr="00CD6F4A">
        <w:rPr>
          <w:rFonts w:cs="Arial"/>
          <w:sz w:val="22"/>
          <w:szCs w:val="22"/>
        </w:rPr>
        <w:tab/>
      </w:r>
    </w:p>
    <w:tbl>
      <w:tblPr>
        <w:tblStyle w:val="TableGrid"/>
        <w:tblW w:w="8046"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10"/>
        <w:gridCol w:w="1564"/>
        <w:gridCol w:w="1532"/>
        <w:gridCol w:w="1440"/>
      </w:tblGrid>
      <w:tr w:rsidR="008D4BD5" w:rsidRPr="00CD6F4A">
        <w:tc>
          <w:tcPr>
            <w:tcW w:w="3510" w:type="dxa"/>
          </w:tcPr>
          <w:p w:rsidR="008D4BD5" w:rsidRPr="00CD6F4A" w:rsidRDefault="008D4BD5" w:rsidP="00336F10">
            <w:pPr>
              <w:pStyle w:val="BodyTextIndent"/>
              <w:ind w:left="0" w:firstLine="0"/>
              <w:rPr>
                <w:rFonts w:cs="Arial"/>
                <w:sz w:val="22"/>
                <w:szCs w:val="22"/>
              </w:rPr>
            </w:pPr>
          </w:p>
        </w:tc>
        <w:tc>
          <w:tcPr>
            <w:tcW w:w="1564" w:type="dxa"/>
          </w:tcPr>
          <w:p w:rsidR="008D4BD5" w:rsidRPr="00CD6F4A" w:rsidRDefault="008D4BD5" w:rsidP="00C23427">
            <w:pPr>
              <w:pStyle w:val="BodyTextIndent"/>
              <w:ind w:left="0" w:firstLine="0"/>
              <w:jc w:val="right"/>
              <w:rPr>
                <w:rFonts w:cs="Arial"/>
                <w:b/>
                <w:sz w:val="22"/>
                <w:szCs w:val="22"/>
              </w:rPr>
            </w:pPr>
          </w:p>
        </w:tc>
        <w:tc>
          <w:tcPr>
            <w:tcW w:w="1532" w:type="dxa"/>
          </w:tcPr>
          <w:p w:rsidR="008D4BD5" w:rsidRPr="00CD6F4A" w:rsidRDefault="008D4BD5" w:rsidP="00C23427">
            <w:pPr>
              <w:pStyle w:val="BodyTextIndent"/>
              <w:ind w:left="0" w:firstLine="0"/>
              <w:jc w:val="right"/>
              <w:rPr>
                <w:rFonts w:cs="Arial"/>
                <w:b/>
                <w:sz w:val="22"/>
                <w:szCs w:val="22"/>
              </w:rPr>
            </w:pPr>
            <w:r w:rsidRPr="00CD6F4A">
              <w:rPr>
                <w:rFonts w:cs="Arial"/>
                <w:b/>
                <w:sz w:val="22"/>
                <w:szCs w:val="22"/>
              </w:rPr>
              <w:t>Effect of</w:t>
            </w:r>
          </w:p>
        </w:tc>
        <w:tc>
          <w:tcPr>
            <w:tcW w:w="1440" w:type="dxa"/>
          </w:tcPr>
          <w:p w:rsidR="008D4BD5" w:rsidRPr="00CD6F4A" w:rsidRDefault="008D4BD5" w:rsidP="00C23427">
            <w:pPr>
              <w:pStyle w:val="BodyTextIndent"/>
              <w:ind w:left="0" w:firstLine="0"/>
              <w:jc w:val="right"/>
              <w:rPr>
                <w:rFonts w:cs="Arial"/>
                <w:b/>
                <w:sz w:val="22"/>
                <w:szCs w:val="22"/>
              </w:rPr>
            </w:pPr>
          </w:p>
        </w:tc>
      </w:tr>
      <w:tr w:rsidR="008D4BD5" w:rsidRPr="00CD6F4A">
        <w:tc>
          <w:tcPr>
            <w:tcW w:w="3510" w:type="dxa"/>
          </w:tcPr>
          <w:p w:rsidR="008D4BD5" w:rsidRPr="00CD6F4A" w:rsidRDefault="008D4BD5" w:rsidP="00336F10">
            <w:pPr>
              <w:pStyle w:val="BodyTextIndent"/>
              <w:ind w:left="0" w:firstLine="0"/>
              <w:rPr>
                <w:rFonts w:cs="Arial"/>
                <w:sz w:val="22"/>
                <w:szCs w:val="22"/>
              </w:rPr>
            </w:pPr>
          </w:p>
        </w:tc>
        <w:tc>
          <w:tcPr>
            <w:tcW w:w="1564" w:type="dxa"/>
          </w:tcPr>
          <w:p w:rsidR="008D4BD5" w:rsidRPr="00CD6F4A" w:rsidRDefault="008D4BD5" w:rsidP="00C23427">
            <w:pPr>
              <w:pStyle w:val="BodyTextIndent"/>
              <w:ind w:left="0" w:firstLine="0"/>
              <w:jc w:val="right"/>
              <w:rPr>
                <w:rFonts w:cs="Arial"/>
                <w:b/>
                <w:sz w:val="22"/>
                <w:szCs w:val="22"/>
              </w:rPr>
            </w:pPr>
          </w:p>
        </w:tc>
        <w:tc>
          <w:tcPr>
            <w:tcW w:w="1532" w:type="dxa"/>
          </w:tcPr>
          <w:p w:rsidR="008D4BD5" w:rsidRPr="00CD6F4A" w:rsidRDefault="008D4BD5" w:rsidP="00C23427">
            <w:pPr>
              <w:pStyle w:val="BodyTextIndent"/>
              <w:ind w:left="0" w:firstLine="0"/>
              <w:jc w:val="right"/>
              <w:rPr>
                <w:rFonts w:cs="Arial"/>
                <w:b/>
                <w:sz w:val="22"/>
                <w:szCs w:val="22"/>
              </w:rPr>
            </w:pPr>
            <w:r w:rsidRPr="00CD6F4A">
              <w:rPr>
                <w:rFonts w:cs="Arial"/>
                <w:b/>
                <w:sz w:val="22"/>
                <w:szCs w:val="22"/>
              </w:rPr>
              <w:t>adopting</w:t>
            </w:r>
          </w:p>
        </w:tc>
        <w:tc>
          <w:tcPr>
            <w:tcW w:w="1440" w:type="dxa"/>
          </w:tcPr>
          <w:p w:rsidR="008D4BD5" w:rsidRPr="00CD6F4A" w:rsidRDefault="008D4BD5" w:rsidP="00C23427">
            <w:pPr>
              <w:pStyle w:val="BodyTextIndent"/>
              <w:ind w:left="0" w:firstLine="0"/>
              <w:jc w:val="right"/>
              <w:rPr>
                <w:rFonts w:cs="Arial"/>
                <w:b/>
                <w:sz w:val="22"/>
                <w:szCs w:val="22"/>
              </w:rPr>
            </w:pPr>
          </w:p>
        </w:tc>
      </w:tr>
      <w:tr w:rsidR="003C1544" w:rsidRPr="00CD6F4A">
        <w:tc>
          <w:tcPr>
            <w:tcW w:w="3510" w:type="dxa"/>
          </w:tcPr>
          <w:p w:rsidR="003C1544" w:rsidRPr="00CD6F4A" w:rsidRDefault="003C1544" w:rsidP="00336F10">
            <w:pPr>
              <w:pStyle w:val="BodyTextIndent"/>
              <w:ind w:left="0" w:firstLine="0"/>
              <w:rPr>
                <w:rFonts w:cs="Arial"/>
                <w:sz w:val="22"/>
                <w:szCs w:val="22"/>
              </w:rPr>
            </w:pPr>
          </w:p>
        </w:tc>
        <w:tc>
          <w:tcPr>
            <w:tcW w:w="1564" w:type="dxa"/>
          </w:tcPr>
          <w:p w:rsidR="003C1544" w:rsidRPr="00CD6F4A" w:rsidRDefault="003C1544" w:rsidP="00EE2B49">
            <w:pPr>
              <w:pStyle w:val="BodyTextIndent"/>
              <w:ind w:left="0" w:firstLine="0"/>
              <w:jc w:val="right"/>
              <w:rPr>
                <w:rFonts w:cs="Arial"/>
                <w:b/>
                <w:sz w:val="22"/>
                <w:szCs w:val="22"/>
              </w:rPr>
            </w:pPr>
            <w:r w:rsidRPr="00CD6F4A">
              <w:rPr>
                <w:rFonts w:cs="Arial"/>
                <w:b/>
                <w:sz w:val="22"/>
                <w:szCs w:val="22"/>
              </w:rPr>
              <w:t>As reported</w:t>
            </w:r>
          </w:p>
        </w:tc>
        <w:tc>
          <w:tcPr>
            <w:tcW w:w="1532" w:type="dxa"/>
          </w:tcPr>
          <w:p w:rsidR="003C1544" w:rsidRPr="00CD6F4A" w:rsidRDefault="003C1544" w:rsidP="00C23427">
            <w:pPr>
              <w:pStyle w:val="BodyTextIndent"/>
              <w:ind w:left="0" w:firstLine="0"/>
              <w:jc w:val="right"/>
              <w:rPr>
                <w:rFonts w:cs="Arial"/>
                <w:b/>
                <w:sz w:val="22"/>
                <w:szCs w:val="22"/>
              </w:rPr>
            </w:pPr>
            <w:r w:rsidRPr="00CD6F4A">
              <w:rPr>
                <w:rFonts w:cs="Arial"/>
                <w:b/>
                <w:sz w:val="22"/>
                <w:szCs w:val="22"/>
              </w:rPr>
              <w:t>Amendment</w:t>
            </w:r>
          </w:p>
        </w:tc>
        <w:tc>
          <w:tcPr>
            <w:tcW w:w="1440" w:type="dxa"/>
          </w:tcPr>
          <w:p w:rsidR="003C1544" w:rsidRPr="00CD6F4A" w:rsidRDefault="003C1544" w:rsidP="00C23427">
            <w:pPr>
              <w:pStyle w:val="BodyTextIndent"/>
              <w:ind w:left="0" w:firstLine="0"/>
              <w:jc w:val="right"/>
              <w:rPr>
                <w:rFonts w:cs="Arial"/>
                <w:b/>
                <w:sz w:val="22"/>
                <w:szCs w:val="22"/>
              </w:rPr>
            </w:pPr>
          </w:p>
        </w:tc>
      </w:tr>
      <w:tr w:rsidR="003C1544" w:rsidRPr="00CD6F4A">
        <w:tc>
          <w:tcPr>
            <w:tcW w:w="3510" w:type="dxa"/>
          </w:tcPr>
          <w:p w:rsidR="003C1544" w:rsidRPr="00CD6F4A" w:rsidRDefault="003C1544" w:rsidP="00336F10">
            <w:pPr>
              <w:pStyle w:val="BodyTextIndent"/>
              <w:ind w:left="0" w:firstLine="0"/>
              <w:rPr>
                <w:rFonts w:cs="Arial"/>
                <w:sz w:val="22"/>
                <w:szCs w:val="22"/>
              </w:rPr>
            </w:pPr>
          </w:p>
        </w:tc>
        <w:tc>
          <w:tcPr>
            <w:tcW w:w="1564" w:type="dxa"/>
          </w:tcPr>
          <w:p w:rsidR="003C1544" w:rsidRPr="00CD6F4A" w:rsidRDefault="003C1544" w:rsidP="00EE2B49">
            <w:pPr>
              <w:pStyle w:val="BodyTextIndent"/>
              <w:ind w:left="0" w:firstLine="0"/>
              <w:jc w:val="right"/>
              <w:rPr>
                <w:rFonts w:cs="Arial"/>
                <w:b/>
                <w:sz w:val="22"/>
                <w:szCs w:val="22"/>
              </w:rPr>
            </w:pPr>
            <w:r w:rsidRPr="00CD6F4A">
              <w:rPr>
                <w:rFonts w:cs="Arial"/>
                <w:b/>
                <w:sz w:val="22"/>
                <w:szCs w:val="22"/>
              </w:rPr>
              <w:t>previously</w:t>
            </w:r>
          </w:p>
        </w:tc>
        <w:tc>
          <w:tcPr>
            <w:tcW w:w="1532" w:type="dxa"/>
          </w:tcPr>
          <w:p w:rsidR="003C1544" w:rsidRPr="00CD6F4A" w:rsidRDefault="003C1544" w:rsidP="00C23427">
            <w:pPr>
              <w:pStyle w:val="BodyTextIndent"/>
              <w:ind w:left="0" w:firstLine="0"/>
              <w:jc w:val="right"/>
              <w:rPr>
                <w:rFonts w:cs="Arial"/>
                <w:b/>
                <w:sz w:val="22"/>
                <w:szCs w:val="22"/>
              </w:rPr>
            </w:pPr>
            <w:r w:rsidRPr="00CD6F4A">
              <w:rPr>
                <w:rFonts w:cs="Arial"/>
                <w:b/>
                <w:sz w:val="22"/>
                <w:szCs w:val="22"/>
              </w:rPr>
              <w:t>to FRS 117</w:t>
            </w:r>
          </w:p>
        </w:tc>
        <w:tc>
          <w:tcPr>
            <w:tcW w:w="1440" w:type="dxa"/>
          </w:tcPr>
          <w:p w:rsidR="003C1544" w:rsidRPr="00CD6F4A" w:rsidRDefault="003C1544" w:rsidP="00C23427">
            <w:pPr>
              <w:pStyle w:val="BodyTextIndent"/>
              <w:ind w:left="0" w:firstLine="0"/>
              <w:jc w:val="right"/>
              <w:rPr>
                <w:rFonts w:cs="Arial"/>
                <w:b/>
                <w:sz w:val="22"/>
                <w:szCs w:val="22"/>
              </w:rPr>
            </w:pPr>
            <w:r w:rsidRPr="00CD6F4A">
              <w:rPr>
                <w:rFonts w:cs="Arial"/>
                <w:b/>
                <w:sz w:val="22"/>
                <w:szCs w:val="22"/>
              </w:rPr>
              <w:t>As restated</w:t>
            </w:r>
          </w:p>
        </w:tc>
      </w:tr>
      <w:tr w:rsidR="003C1544" w:rsidRPr="00CD6F4A">
        <w:tc>
          <w:tcPr>
            <w:tcW w:w="3510" w:type="dxa"/>
          </w:tcPr>
          <w:p w:rsidR="003C1544" w:rsidRPr="00CD6F4A" w:rsidRDefault="003C1544" w:rsidP="00336F10">
            <w:pPr>
              <w:pStyle w:val="BodyTextIndent"/>
              <w:ind w:left="0" w:firstLine="0"/>
              <w:rPr>
                <w:rFonts w:cs="Arial"/>
                <w:sz w:val="22"/>
                <w:szCs w:val="22"/>
              </w:rPr>
            </w:pPr>
          </w:p>
        </w:tc>
        <w:tc>
          <w:tcPr>
            <w:tcW w:w="1564" w:type="dxa"/>
          </w:tcPr>
          <w:p w:rsidR="003C1544" w:rsidRPr="00CD6F4A" w:rsidRDefault="003C1544" w:rsidP="00C23427">
            <w:pPr>
              <w:pStyle w:val="BodyTextIndent"/>
              <w:ind w:left="0" w:firstLine="0"/>
              <w:jc w:val="right"/>
              <w:rPr>
                <w:rFonts w:cs="Arial"/>
                <w:b/>
                <w:sz w:val="22"/>
                <w:szCs w:val="22"/>
              </w:rPr>
            </w:pPr>
            <w:r w:rsidRPr="00CD6F4A">
              <w:rPr>
                <w:rFonts w:cs="Arial"/>
                <w:b/>
                <w:sz w:val="22"/>
                <w:szCs w:val="22"/>
              </w:rPr>
              <w:t>RM’000</w:t>
            </w:r>
          </w:p>
        </w:tc>
        <w:tc>
          <w:tcPr>
            <w:tcW w:w="1532" w:type="dxa"/>
          </w:tcPr>
          <w:p w:rsidR="003C1544" w:rsidRPr="00CD6F4A" w:rsidRDefault="003C1544" w:rsidP="00C23427">
            <w:pPr>
              <w:pStyle w:val="BodyTextIndent"/>
              <w:ind w:left="0" w:firstLine="0"/>
              <w:jc w:val="right"/>
              <w:rPr>
                <w:rFonts w:cs="Arial"/>
                <w:b/>
                <w:sz w:val="22"/>
                <w:szCs w:val="22"/>
              </w:rPr>
            </w:pPr>
            <w:r w:rsidRPr="00CD6F4A">
              <w:rPr>
                <w:rFonts w:cs="Arial"/>
                <w:b/>
                <w:sz w:val="22"/>
                <w:szCs w:val="22"/>
              </w:rPr>
              <w:t>RM’000</w:t>
            </w:r>
          </w:p>
        </w:tc>
        <w:tc>
          <w:tcPr>
            <w:tcW w:w="1440" w:type="dxa"/>
          </w:tcPr>
          <w:p w:rsidR="003C1544" w:rsidRPr="00CD6F4A" w:rsidRDefault="003C1544" w:rsidP="00C23427">
            <w:pPr>
              <w:pStyle w:val="BodyTextIndent"/>
              <w:ind w:left="0" w:firstLine="0"/>
              <w:jc w:val="right"/>
              <w:rPr>
                <w:rFonts w:cs="Arial"/>
                <w:b/>
                <w:sz w:val="22"/>
                <w:szCs w:val="22"/>
              </w:rPr>
            </w:pPr>
            <w:r w:rsidRPr="00CD6F4A">
              <w:rPr>
                <w:rFonts w:cs="Arial"/>
                <w:b/>
                <w:sz w:val="22"/>
                <w:szCs w:val="22"/>
              </w:rPr>
              <w:t>RM’000</w:t>
            </w:r>
          </w:p>
        </w:tc>
      </w:tr>
      <w:tr w:rsidR="003C1544" w:rsidRPr="00CD6F4A">
        <w:tc>
          <w:tcPr>
            <w:tcW w:w="3510" w:type="dxa"/>
          </w:tcPr>
          <w:p w:rsidR="003C1544" w:rsidRPr="00CD6F4A" w:rsidRDefault="003C1544" w:rsidP="00336F10">
            <w:pPr>
              <w:pStyle w:val="BodyTextIndent"/>
              <w:ind w:left="0" w:firstLine="0"/>
              <w:rPr>
                <w:rFonts w:cs="Arial"/>
                <w:sz w:val="22"/>
                <w:szCs w:val="22"/>
              </w:rPr>
            </w:pPr>
          </w:p>
        </w:tc>
        <w:tc>
          <w:tcPr>
            <w:tcW w:w="1564" w:type="dxa"/>
          </w:tcPr>
          <w:p w:rsidR="003C1544" w:rsidRPr="00CD6F4A" w:rsidRDefault="003C1544" w:rsidP="00336F10">
            <w:pPr>
              <w:pStyle w:val="BodyTextIndent"/>
              <w:ind w:left="0" w:firstLine="0"/>
              <w:rPr>
                <w:rFonts w:cs="Arial"/>
                <w:sz w:val="22"/>
                <w:szCs w:val="22"/>
              </w:rPr>
            </w:pPr>
          </w:p>
        </w:tc>
        <w:tc>
          <w:tcPr>
            <w:tcW w:w="1532" w:type="dxa"/>
          </w:tcPr>
          <w:p w:rsidR="003C1544" w:rsidRPr="00CD6F4A" w:rsidRDefault="003C1544" w:rsidP="00336F10">
            <w:pPr>
              <w:pStyle w:val="BodyTextIndent"/>
              <w:ind w:left="0" w:firstLine="0"/>
              <w:rPr>
                <w:rFonts w:cs="Arial"/>
                <w:sz w:val="22"/>
                <w:szCs w:val="22"/>
              </w:rPr>
            </w:pPr>
          </w:p>
        </w:tc>
        <w:tc>
          <w:tcPr>
            <w:tcW w:w="1440" w:type="dxa"/>
          </w:tcPr>
          <w:p w:rsidR="003C1544" w:rsidRPr="00CD6F4A" w:rsidRDefault="003C1544" w:rsidP="00336F10">
            <w:pPr>
              <w:pStyle w:val="BodyTextIndent"/>
              <w:ind w:left="0" w:firstLine="0"/>
              <w:rPr>
                <w:rFonts w:cs="Arial"/>
                <w:sz w:val="22"/>
                <w:szCs w:val="22"/>
              </w:rPr>
            </w:pPr>
          </w:p>
        </w:tc>
      </w:tr>
      <w:tr w:rsidR="003C1544" w:rsidRPr="00CD6F4A">
        <w:tc>
          <w:tcPr>
            <w:tcW w:w="3510" w:type="dxa"/>
          </w:tcPr>
          <w:p w:rsidR="003C1544" w:rsidRPr="00CD6F4A" w:rsidRDefault="003C1544" w:rsidP="00336F10">
            <w:pPr>
              <w:pStyle w:val="BodyTextIndent"/>
              <w:ind w:left="0" w:firstLine="0"/>
              <w:rPr>
                <w:rFonts w:cs="Arial"/>
                <w:sz w:val="22"/>
                <w:szCs w:val="22"/>
              </w:rPr>
            </w:pPr>
            <w:r w:rsidRPr="00CD6F4A">
              <w:rPr>
                <w:rFonts w:cs="Arial"/>
                <w:sz w:val="22"/>
                <w:szCs w:val="22"/>
              </w:rPr>
              <w:t>Property, plant and equipment</w:t>
            </w:r>
          </w:p>
        </w:tc>
        <w:tc>
          <w:tcPr>
            <w:tcW w:w="1564" w:type="dxa"/>
          </w:tcPr>
          <w:p w:rsidR="003C1544" w:rsidRPr="00CD6F4A" w:rsidRDefault="003C1544" w:rsidP="00C23427">
            <w:pPr>
              <w:pStyle w:val="BodyTextIndent"/>
              <w:tabs>
                <w:tab w:val="decimal" w:pos="1347"/>
              </w:tabs>
              <w:ind w:left="0" w:firstLine="0"/>
              <w:jc w:val="left"/>
              <w:rPr>
                <w:rFonts w:cs="Arial"/>
                <w:sz w:val="22"/>
                <w:szCs w:val="22"/>
              </w:rPr>
            </w:pPr>
            <w:r w:rsidRPr="00CD6F4A">
              <w:rPr>
                <w:rFonts w:cs="Arial"/>
                <w:sz w:val="22"/>
                <w:szCs w:val="22"/>
              </w:rPr>
              <w:t>1,369,910</w:t>
            </w:r>
          </w:p>
        </w:tc>
        <w:tc>
          <w:tcPr>
            <w:tcW w:w="1532" w:type="dxa"/>
          </w:tcPr>
          <w:p w:rsidR="003C1544" w:rsidRPr="00CD6F4A" w:rsidRDefault="003C1544" w:rsidP="00C23427">
            <w:pPr>
              <w:pStyle w:val="BodyTextIndent"/>
              <w:tabs>
                <w:tab w:val="decimal" w:pos="1242"/>
              </w:tabs>
              <w:ind w:left="0" w:firstLine="0"/>
              <w:jc w:val="left"/>
              <w:rPr>
                <w:rFonts w:cs="Arial"/>
                <w:sz w:val="22"/>
                <w:szCs w:val="22"/>
              </w:rPr>
            </w:pPr>
            <w:r w:rsidRPr="00CD6F4A">
              <w:rPr>
                <w:rFonts w:cs="Arial"/>
                <w:sz w:val="22"/>
                <w:szCs w:val="22"/>
              </w:rPr>
              <w:t>1,127,554</w:t>
            </w:r>
          </w:p>
        </w:tc>
        <w:tc>
          <w:tcPr>
            <w:tcW w:w="1440" w:type="dxa"/>
          </w:tcPr>
          <w:p w:rsidR="003C1544" w:rsidRPr="00CD6F4A" w:rsidRDefault="003C1544" w:rsidP="00C23427">
            <w:pPr>
              <w:pStyle w:val="BodyTextIndent"/>
              <w:tabs>
                <w:tab w:val="decimal" w:pos="1152"/>
              </w:tabs>
              <w:ind w:left="0" w:firstLine="0"/>
              <w:jc w:val="left"/>
              <w:rPr>
                <w:rFonts w:cs="Arial"/>
                <w:sz w:val="22"/>
                <w:szCs w:val="22"/>
              </w:rPr>
            </w:pPr>
            <w:r w:rsidRPr="00CD6F4A">
              <w:rPr>
                <w:rFonts w:cs="Arial"/>
                <w:sz w:val="22"/>
                <w:szCs w:val="22"/>
              </w:rPr>
              <w:t>2,497,464</w:t>
            </w:r>
          </w:p>
        </w:tc>
      </w:tr>
      <w:tr w:rsidR="003C1544" w:rsidRPr="00CD6F4A">
        <w:tc>
          <w:tcPr>
            <w:tcW w:w="3510" w:type="dxa"/>
          </w:tcPr>
          <w:p w:rsidR="003C1544" w:rsidRPr="00CD6F4A" w:rsidRDefault="003C1544" w:rsidP="00336F10">
            <w:pPr>
              <w:pStyle w:val="BodyTextIndent"/>
              <w:ind w:left="0" w:firstLine="0"/>
              <w:rPr>
                <w:rFonts w:cs="Arial"/>
                <w:sz w:val="22"/>
                <w:szCs w:val="22"/>
              </w:rPr>
            </w:pPr>
            <w:r w:rsidRPr="00CD6F4A">
              <w:rPr>
                <w:rFonts w:cs="Arial"/>
                <w:sz w:val="22"/>
                <w:szCs w:val="22"/>
              </w:rPr>
              <w:t>Prepaid lease payments for land</w:t>
            </w:r>
          </w:p>
        </w:tc>
        <w:tc>
          <w:tcPr>
            <w:tcW w:w="1564" w:type="dxa"/>
            <w:tcBorders>
              <w:bottom w:val="single" w:sz="12" w:space="0" w:color="auto"/>
            </w:tcBorders>
          </w:tcPr>
          <w:p w:rsidR="003C1544" w:rsidRPr="00CD6F4A" w:rsidRDefault="003C1544" w:rsidP="00C23427">
            <w:pPr>
              <w:pStyle w:val="BodyTextIndent"/>
              <w:tabs>
                <w:tab w:val="decimal" w:pos="1347"/>
              </w:tabs>
              <w:ind w:left="0" w:firstLine="0"/>
              <w:jc w:val="left"/>
              <w:rPr>
                <w:rFonts w:cs="Arial"/>
                <w:sz w:val="22"/>
                <w:szCs w:val="22"/>
              </w:rPr>
            </w:pPr>
            <w:r w:rsidRPr="00CD6F4A">
              <w:rPr>
                <w:rFonts w:cs="Arial"/>
                <w:sz w:val="22"/>
                <w:szCs w:val="22"/>
              </w:rPr>
              <w:t>1,127,554</w:t>
            </w:r>
          </w:p>
        </w:tc>
        <w:tc>
          <w:tcPr>
            <w:tcW w:w="1532" w:type="dxa"/>
            <w:tcBorders>
              <w:bottom w:val="single" w:sz="12" w:space="0" w:color="auto"/>
            </w:tcBorders>
          </w:tcPr>
          <w:p w:rsidR="003C1544" w:rsidRPr="00CD6F4A" w:rsidRDefault="003C1544" w:rsidP="00C23427">
            <w:pPr>
              <w:pStyle w:val="BodyTextIndent"/>
              <w:tabs>
                <w:tab w:val="decimal" w:pos="1242"/>
              </w:tabs>
              <w:ind w:left="0" w:firstLine="0"/>
              <w:jc w:val="left"/>
              <w:rPr>
                <w:rFonts w:cs="Arial"/>
                <w:sz w:val="22"/>
                <w:szCs w:val="22"/>
              </w:rPr>
            </w:pPr>
            <w:r w:rsidRPr="00CD6F4A">
              <w:rPr>
                <w:rFonts w:cs="Arial"/>
                <w:sz w:val="22"/>
                <w:szCs w:val="22"/>
              </w:rPr>
              <w:t>(1,127,554)</w:t>
            </w:r>
          </w:p>
        </w:tc>
        <w:tc>
          <w:tcPr>
            <w:tcW w:w="1440" w:type="dxa"/>
            <w:tcBorders>
              <w:bottom w:val="single" w:sz="12" w:space="0" w:color="auto"/>
            </w:tcBorders>
          </w:tcPr>
          <w:p w:rsidR="003C1544" w:rsidRPr="00CD6F4A" w:rsidRDefault="003C1544" w:rsidP="00C23427">
            <w:pPr>
              <w:pStyle w:val="BodyTextIndent"/>
              <w:tabs>
                <w:tab w:val="decimal" w:pos="1152"/>
              </w:tabs>
              <w:ind w:left="0" w:firstLine="0"/>
              <w:jc w:val="left"/>
              <w:rPr>
                <w:rFonts w:cs="Arial"/>
                <w:sz w:val="22"/>
                <w:szCs w:val="22"/>
              </w:rPr>
            </w:pPr>
            <w:r w:rsidRPr="00CD6F4A">
              <w:rPr>
                <w:rFonts w:cs="Arial"/>
                <w:sz w:val="22"/>
                <w:szCs w:val="22"/>
              </w:rPr>
              <w:t>-</w:t>
            </w:r>
          </w:p>
        </w:tc>
      </w:tr>
    </w:tbl>
    <w:p w:rsidR="00164CC7" w:rsidRPr="00CD6F4A" w:rsidRDefault="00164CC7" w:rsidP="00336F10">
      <w:pPr>
        <w:pStyle w:val="BodyTextIndent"/>
        <w:ind w:left="720" w:firstLine="0"/>
        <w:rPr>
          <w:rFonts w:cs="Arial"/>
          <w:sz w:val="22"/>
          <w:szCs w:val="22"/>
        </w:rPr>
      </w:pPr>
    </w:p>
    <w:p w:rsidR="000B1123" w:rsidRPr="00CD6F4A" w:rsidRDefault="000B1123" w:rsidP="000B1123">
      <w:pPr>
        <w:pStyle w:val="BodyTextIndent"/>
        <w:ind w:left="1440" w:firstLine="0"/>
        <w:rPr>
          <w:rFonts w:cs="Arial"/>
          <w:sz w:val="22"/>
          <w:szCs w:val="22"/>
        </w:rPr>
      </w:pPr>
      <w:r w:rsidRPr="00CD6F4A">
        <w:rPr>
          <w:rFonts w:cs="Arial"/>
          <w:sz w:val="22"/>
          <w:szCs w:val="22"/>
        </w:rPr>
        <w:t xml:space="preserve">The adoption of </w:t>
      </w:r>
      <w:r w:rsidR="00CA78C2" w:rsidRPr="00CD6F4A">
        <w:rPr>
          <w:rFonts w:cs="Arial"/>
          <w:sz w:val="22"/>
          <w:szCs w:val="22"/>
        </w:rPr>
        <w:t xml:space="preserve">Amendment to </w:t>
      </w:r>
      <w:r w:rsidRPr="00CD6F4A">
        <w:rPr>
          <w:rFonts w:cs="Arial"/>
          <w:sz w:val="22"/>
          <w:szCs w:val="22"/>
        </w:rPr>
        <w:t xml:space="preserve">FRS 117 does not have any impact to the financial results of the </w:t>
      </w:r>
      <w:r w:rsidR="00BD222F" w:rsidRPr="00CD6F4A">
        <w:rPr>
          <w:rFonts w:cs="Arial"/>
          <w:sz w:val="22"/>
          <w:szCs w:val="22"/>
        </w:rPr>
        <w:t>Group for the current financial year to date and corresponding period last year.</w:t>
      </w:r>
    </w:p>
    <w:p w:rsidR="000B1123" w:rsidRPr="00CD6F4A" w:rsidRDefault="000B1123" w:rsidP="00336F10">
      <w:pPr>
        <w:pStyle w:val="BodyTextIndent"/>
        <w:ind w:left="720" w:firstLine="0"/>
        <w:rPr>
          <w:rFonts w:cs="Arial"/>
          <w:sz w:val="22"/>
          <w:szCs w:val="22"/>
        </w:rPr>
      </w:pPr>
    </w:p>
    <w:p w:rsidR="00EB268B" w:rsidRPr="00CD6F4A" w:rsidRDefault="00EB268B" w:rsidP="00336F10">
      <w:pPr>
        <w:pStyle w:val="BodyTextIndent"/>
        <w:ind w:left="720" w:firstLine="0"/>
        <w:rPr>
          <w:rFonts w:cs="Arial"/>
          <w:sz w:val="22"/>
          <w:szCs w:val="22"/>
        </w:rPr>
      </w:pPr>
      <w:r w:rsidRPr="00CD6F4A">
        <w:rPr>
          <w:rFonts w:cs="Arial"/>
          <w:sz w:val="22"/>
          <w:szCs w:val="22"/>
        </w:rPr>
        <w:t>(c)</w:t>
      </w:r>
      <w:r w:rsidRPr="00CD6F4A">
        <w:rPr>
          <w:rFonts w:cs="Arial"/>
          <w:sz w:val="22"/>
          <w:szCs w:val="22"/>
        </w:rPr>
        <w:tab/>
        <w:t xml:space="preserve">FRS 139 </w:t>
      </w:r>
      <w:r w:rsidRPr="00CD6F4A">
        <w:rPr>
          <w:rFonts w:cs="Arial"/>
          <w:i/>
          <w:sz w:val="22"/>
          <w:szCs w:val="22"/>
        </w:rPr>
        <w:t>Financial Instruments: Recognition and Measurement</w:t>
      </w:r>
    </w:p>
    <w:p w:rsidR="00C23427" w:rsidRPr="00CD6F4A" w:rsidRDefault="00C23427" w:rsidP="00336F10">
      <w:pPr>
        <w:pStyle w:val="BodyTextIndent"/>
        <w:ind w:left="720" w:firstLine="0"/>
        <w:rPr>
          <w:rFonts w:cs="Arial"/>
          <w:sz w:val="22"/>
          <w:szCs w:val="22"/>
        </w:rPr>
      </w:pPr>
    </w:p>
    <w:p w:rsidR="00C23427" w:rsidRPr="00CD6F4A" w:rsidRDefault="004C20B9" w:rsidP="004C20B9">
      <w:pPr>
        <w:pStyle w:val="BodyTextIndent"/>
        <w:ind w:left="1440" w:firstLine="0"/>
        <w:rPr>
          <w:rFonts w:cs="Arial"/>
          <w:sz w:val="22"/>
          <w:szCs w:val="22"/>
        </w:rPr>
      </w:pPr>
      <w:r w:rsidRPr="00CD6F4A">
        <w:rPr>
          <w:rFonts w:cs="Arial"/>
          <w:sz w:val="22"/>
          <w:szCs w:val="22"/>
        </w:rPr>
        <w:t>This Standard establishes the principles for the recognition and measurement of financial assets and financial liabilities including circumstances under which hedge accounting is permitted.</w:t>
      </w:r>
    </w:p>
    <w:p w:rsidR="004C20B9" w:rsidRPr="00CD6F4A" w:rsidRDefault="004C20B9" w:rsidP="004C20B9">
      <w:pPr>
        <w:pStyle w:val="BodyTextIndent"/>
        <w:ind w:left="1440" w:firstLine="0"/>
        <w:rPr>
          <w:rFonts w:cs="Arial"/>
          <w:sz w:val="22"/>
          <w:szCs w:val="22"/>
        </w:rPr>
      </w:pPr>
    </w:p>
    <w:p w:rsidR="00D97706" w:rsidRPr="00CD6F4A" w:rsidRDefault="00D97706" w:rsidP="00D97706">
      <w:pPr>
        <w:pStyle w:val="BodyTextIndent"/>
        <w:ind w:left="1440" w:firstLine="0"/>
        <w:rPr>
          <w:rFonts w:cs="Arial"/>
          <w:sz w:val="22"/>
          <w:szCs w:val="22"/>
        </w:rPr>
      </w:pPr>
      <w:r w:rsidRPr="00CD6F4A">
        <w:rPr>
          <w:rFonts w:cs="Arial"/>
          <w:sz w:val="22"/>
          <w:szCs w:val="22"/>
        </w:rPr>
        <w:t xml:space="preserve">All financial instruments are </w:t>
      </w:r>
      <w:proofErr w:type="spellStart"/>
      <w:r w:rsidRPr="00CD6F4A">
        <w:rPr>
          <w:rFonts w:cs="Arial"/>
          <w:sz w:val="22"/>
          <w:szCs w:val="22"/>
        </w:rPr>
        <w:t>recognised</w:t>
      </w:r>
      <w:proofErr w:type="spellEnd"/>
      <w:r w:rsidRPr="00CD6F4A">
        <w:rPr>
          <w:rFonts w:cs="Arial"/>
          <w:sz w:val="22"/>
          <w:szCs w:val="22"/>
        </w:rPr>
        <w:t xml:space="preserve"> initially at fair value plus </w:t>
      </w:r>
      <w:r w:rsidR="00BE318F" w:rsidRPr="00CD6F4A">
        <w:rPr>
          <w:rFonts w:cs="Arial"/>
          <w:sz w:val="22"/>
          <w:szCs w:val="22"/>
        </w:rPr>
        <w:t xml:space="preserve">in the case of financial instruments not at fair value through profit or loss, </w:t>
      </w:r>
      <w:r w:rsidRPr="00CD6F4A">
        <w:rPr>
          <w:rFonts w:cs="Arial"/>
          <w:sz w:val="22"/>
          <w:szCs w:val="22"/>
        </w:rPr>
        <w:t xml:space="preserve">transaction costs directly attributable to the acquisition of the financial instruments. Subsequent </w:t>
      </w:r>
      <w:r w:rsidR="00BE318F" w:rsidRPr="00CD6F4A">
        <w:rPr>
          <w:rFonts w:cs="Arial"/>
          <w:sz w:val="22"/>
          <w:szCs w:val="22"/>
        </w:rPr>
        <w:t xml:space="preserve">to the initial recognition, </w:t>
      </w:r>
      <w:r w:rsidRPr="00CD6F4A">
        <w:rPr>
          <w:rFonts w:cs="Arial"/>
          <w:sz w:val="22"/>
          <w:szCs w:val="22"/>
        </w:rPr>
        <w:t xml:space="preserve">the financial instruments are </w:t>
      </w:r>
      <w:r w:rsidR="00BE318F" w:rsidRPr="00CD6F4A">
        <w:rPr>
          <w:rFonts w:cs="Arial"/>
          <w:sz w:val="22"/>
          <w:szCs w:val="22"/>
        </w:rPr>
        <w:t xml:space="preserve">measured </w:t>
      </w:r>
      <w:r w:rsidRPr="00CD6F4A">
        <w:rPr>
          <w:rFonts w:cs="Arial"/>
          <w:sz w:val="22"/>
          <w:szCs w:val="22"/>
        </w:rPr>
        <w:t>in accordance with the designation of the financial instruments.</w:t>
      </w:r>
    </w:p>
    <w:p w:rsidR="00457E75" w:rsidRPr="00CD385D" w:rsidRDefault="00AC0D52" w:rsidP="00CD385D">
      <w:pPr>
        <w:pStyle w:val="BodyTextIndent"/>
        <w:ind w:left="1440" w:firstLine="0"/>
        <w:rPr>
          <w:sz w:val="22"/>
          <w:szCs w:val="22"/>
        </w:rPr>
      </w:pPr>
      <w:r w:rsidRPr="00CD6F4A">
        <w:rPr>
          <w:sz w:val="22"/>
          <w:szCs w:val="22"/>
        </w:rPr>
        <w:br w:type="page"/>
      </w:r>
      <w:r w:rsidR="00457E75" w:rsidRPr="00CD6F4A">
        <w:rPr>
          <w:sz w:val="22"/>
        </w:rPr>
        <w:lastRenderedPageBreak/>
        <w:t xml:space="preserve">In accordance with the transitional provisions of FRS 139, the impact of applying FRS 139 upon first adoption is </w:t>
      </w:r>
      <w:r w:rsidR="00C076AF" w:rsidRPr="00CD6F4A">
        <w:rPr>
          <w:sz w:val="22"/>
        </w:rPr>
        <w:t>applied prospectively with adjustments</w:t>
      </w:r>
      <w:r w:rsidR="00457E75" w:rsidRPr="00CD6F4A">
        <w:rPr>
          <w:sz w:val="22"/>
        </w:rPr>
        <w:t xml:space="preserve"> to </w:t>
      </w:r>
      <w:r w:rsidR="00C076AF" w:rsidRPr="00CD6F4A">
        <w:rPr>
          <w:sz w:val="22"/>
        </w:rPr>
        <w:t xml:space="preserve">be made to </w:t>
      </w:r>
      <w:r w:rsidR="00457E75" w:rsidRPr="00CD6F4A">
        <w:rPr>
          <w:sz w:val="22"/>
        </w:rPr>
        <w:t>the opening balance</w:t>
      </w:r>
      <w:r w:rsidR="0050287D" w:rsidRPr="00CD6F4A">
        <w:rPr>
          <w:sz w:val="22"/>
        </w:rPr>
        <w:t>s</w:t>
      </w:r>
      <w:r w:rsidR="00457E75" w:rsidRPr="00CD6F4A">
        <w:rPr>
          <w:sz w:val="22"/>
        </w:rPr>
        <w:t xml:space="preserve"> </w:t>
      </w:r>
      <w:r w:rsidR="0050287D" w:rsidRPr="00CD6F4A">
        <w:rPr>
          <w:sz w:val="22"/>
        </w:rPr>
        <w:t xml:space="preserve">in </w:t>
      </w:r>
      <w:r w:rsidR="00457E75" w:rsidRPr="00CD6F4A">
        <w:rPr>
          <w:sz w:val="22"/>
        </w:rPr>
        <w:t>the statement of financial position.</w:t>
      </w:r>
      <w:r w:rsidR="00C076AF" w:rsidRPr="00CD6F4A">
        <w:rPr>
          <w:sz w:val="22"/>
        </w:rPr>
        <w:t xml:space="preserve"> Comparative figures need not be adjusted.</w:t>
      </w:r>
    </w:p>
    <w:p w:rsidR="00457E75" w:rsidRPr="00CD6F4A" w:rsidRDefault="00457E75" w:rsidP="004C20B9">
      <w:pPr>
        <w:pStyle w:val="BodyTextIndent"/>
        <w:ind w:left="1440" w:firstLine="0"/>
        <w:rPr>
          <w:sz w:val="22"/>
          <w:szCs w:val="22"/>
        </w:rPr>
      </w:pPr>
    </w:p>
    <w:p w:rsidR="00D97706" w:rsidRPr="00CD6F4A" w:rsidRDefault="000B1123" w:rsidP="004C20B9">
      <w:pPr>
        <w:pStyle w:val="BodyTextIndent"/>
        <w:ind w:left="1440" w:firstLine="0"/>
        <w:rPr>
          <w:sz w:val="22"/>
          <w:szCs w:val="22"/>
          <w:u w:val="single"/>
        </w:rPr>
      </w:pPr>
      <w:r w:rsidRPr="00CD6F4A">
        <w:rPr>
          <w:sz w:val="22"/>
          <w:szCs w:val="22"/>
          <w:u w:val="single"/>
        </w:rPr>
        <w:t>Non-current investments in equity</w:t>
      </w:r>
    </w:p>
    <w:p w:rsidR="00C23427" w:rsidRPr="00CD6F4A" w:rsidRDefault="005F7904" w:rsidP="00336F10">
      <w:pPr>
        <w:pStyle w:val="BodyTextIndent"/>
        <w:ind w:left="720" w:firstLine="0"/>
        <w:rPr>
          <w:sz w:val="22"/>
          <w:szCs w:val="22"/>
        </w:rPr>
      </w:pPr>
      <w:r w:rsidRPr="00CD6F4A">
        <w:rPr>
          <w:sz w:val="22"/>
          <w:szCs w:val="22"/>
        </w:rPr>
        <w:tab/>
      </w:r>
    </w:p>
    <w:p w:rsidR="000B1123" w:rsidRPr="00CD6F4A" w:rsidRDefault="000B1123" w:rsidP="000B1123">
      <w:pPr>
        <w:pStyle w:val="BodyTextIndent"/>
        <w:ind w:left="1440" w:firstLine="0"/>
        <w:rPr>
          <w:sz w:val="22"/>
          <w:szCs w:val="22"/>
        </w:rPr>
      </w:pPr>
      <w:r w:rsidRPr="00CD6F4A">
        <w:rPr>
          <w:sz w:val="22"/>
          <w:szCs w:val="22"/>
        </w:rPr>
        <w:t>Prior to 1 January 2010, non-current investments in equity are stated at cost and an allowance for diminution in value is made where there is a decline other than temporary in the value of the investments.</w:t>
      </w:r>
    </w:p>
    <w:p w:rsidR="00164CC7" w:rsidRPr="00CD6F4A" w:rsidRDefault="00164CC7" w:rsidP="00336F10">
      <w:pPr>
        <w:pStyle w:val="BodyTextIndent"/>
        <w:ind w:left="720" w:firstLine="0"/>
        <w:rPr>
          <w:sz w:val="22"/>
          <w:szCs w:val="22"/>
        </w:rPr>
      </w:pPr>
    </w:p>
    <w:p w:rsidR="00164CC7" w:rsidRPr="00CD6F4A" w:rsidRDefault="00E939A6" w:rsidP="00E939A6">
      <w:pPr>
        <w:pStyle w:val="BodyTextIndent"/>
        <w:ind w:left="1440" w:firstLine="0"/>
        <w:rPr>
          <w:sz w:val="22"/>
          <w:szCs w:val="22"/>
        </w:rPr>
      </w:pPr>
      <w:r w:rsidRPr="00CD6F4A">
        <w:rPr>
          <w:sz w:val="22"/>
          <w:szCs w:val="22"/>
        </w:rPr>
        <w:t xml:space="preserve">Following the adoption of FRS 139, the non-current investments in equity are now </w:t>
      </w:r>
      <w:proofErr w:type="spellStart"/>
      <w:r w:rsidRPr="00CD6F4A">
        <w:rPr>
          <w:sz w:val="22"/>
          <w:szCs w:val="22"/>
        </w:rPr>
        <w:t>categorised</w:t>
      </w:r>
      <w:proofErr w:type="spellEnd"/>
      <w:r w:rsidRPr="00CD6F4A">
        <w:rPr>
          <w:sz w:val="22"/>
          <w:szCs w:val="22"/>
        </w:rPr>
        <w:t xml:space="preserve"> as available-for-sale financial assets and measured a</w:t>
      </w:r>
      <w:r w:rsidR="00BD222F" w:rsidRPr="00CD6F4A">
        <w:rPr>
          <w:sz w:val="22"/>
          <w:szCs w:val="22"/>
        </w:rPr>
        <w:t>t</w:t>
      </w:r>
      <w:r w:rsidRPr="00CD6F4A">
        <w:rPr>
          <w:sz w:val="22"/>
          <w:szCs w:val="22"/>
        </w:rPr>
        <w:t xml:space="preserve"> fair value after </w:t>
      </w:r>
      <w:r w:rsidR="0050287D" w:rsidRPr="00CD6F4A">
        <w:rPr>
          <w:sz w:val="22"/>
          <w:szCs w:val="22"/>
        </w:rPr>
        <w:t xml:space="preserve">the </w:t>
      </w:r>
      <w:r w:rsidRPr="00CD6F4A">
        <w:rPr>
          <w:sz w:val="22"/>
          <w:szCs w:val="22"/>
        </w:rPr>
        <w:t xml:space="preserve">initial </w:t>
      </w:r>
      <w:r w:rsidR="00BD222F" w:rsidRPr="00CD6F4A">
        <w:rPr>
          <w:sz w:val="22"/>
          <w:szCs w:val="22"/>
        </w:rPr>
        <w:t>recognition</w:t>
      </w:r>
      <w:r w:rsidRPr="00CD6F4A">
        <w:rPr>
          <w:sz w:val="22"/>
          <w:szCs w:val="22"/>
        </w:rPr>
        <w:t>.</w:t>
      </w:r>
    </w:p>
    <w:p w:rsidR="00BD222F" w:rsidRPr="00CD6F4A" w:rsidRDefault="00BD222F" w:rsidP="00646D1E">
      <w:pPr>
        <w:ind w:left="720"/>
        <w:jc w:val="both"/>
        <w:rPr>
          <w:rFonts w:ascii="Arial" w:hAnsi="Arial"/>
          <w:sz w:val="22"/>
        </w:rPr>
      </w:pPr>
    </w:p>
    <w:p w:rsidR="000F1463" w:rsidRPr="00CD6F4A" w:rsidRDefault="00935467" w:rsidP="00935467">
      <w:pPr>
        <w:ind w:left="1440"/>
        <w:jc w:val="both"/>
        <w:rPr>
          <w:rFonts w:ascii="Arial" w:hAnsi="Arial"/>
          <w:sz w:val="22"/>
        </w:rPr>
      </w:pPr>
      <w:r w:rsidRPr="00CD6F4A">
        <w:rPr>
          <w:rFonts w:ascii="Arial" w:hAnsi="Arial"/>
          <w:sz w:val="22"/>
        </w:rPr>
        <w:t xml:space="preserve">The adoption of FRS 139 has the following </w:t>
      </w:r>
      <w:r w:rsidR="004C41FA" w:rsidRPr="00CD6F4A">
        <w:rPr>
          <w:rFonts w:ascii="Arial" w:hAnsi="Arial"/>
          <w:sz w:val="22"/>
        </w:rPr>
        <w:t>effects</w:t>
      </w:r>
      <w:r w:rsidRPr="00CD6F4A">
        <w:rPr>
          <w:rFonts w:ascii="Arial" w:hAnsi="Arial"/>
          <w:sz w:val="22"/>
        </w:rPr>
        <w:t xml:space="preserve"> on the opening </w:t>
      </w:r>
      <w:r w:rsidR="004C41FA" w:rsidRPr="00CD6F4A">
        <w:rPr>
          <w:rFonts w:ascii="Arial" w:hAnsi="Arial"/>
          <w:sz w:val="22"/>
        </w:rPr>
        <w:t xml:space="preserve">balances in </w:t>
      </w:r>
      <w:r w:rsidRPr="00CD6F4A">
        <w:rPr>
          <w:rFonts w:ascii="Arial" w:hAnsi="Arial"/>
          <w:sz w:val="22"/>
        </w:rPr>
        <w:t>the consolidated statement of financial position as at 1 January 2010:-</w:t>
      </w:r>
    </w:p>
    <w:p w:rsidR="00935467" w:rsidRPr="00CD6F4A" w:rsidRDefault="00935467" w:rsidP="00646D1E">
      <w:pPr>
        <w:ind w:left="720"/>
        <w:jc w:val="both"/>
        <w:rPr>
          <w:rFonts w:ascii="Arial" w:hAnsi="Arial"/>
          <w:sz w:val="22"/>
        </w:rPr>
      </w:pPr>
      <w:r w:rsidRPr="00CD6F4A">
        <w:rPr>
          <w:rFonts w:ascii="Arial" w:hAnsi="Arial"/>
          <w:sz w:val="22"/>
        </w:rPr>
        <w:tab/>
      </w:r>
    </w:p>
    <w:tbl>
      <w:tblPr>
        <w:tblStyle w:val="TableGrid"/>
        <w:tblW w:w="8102"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40"/>
        <w:gridCol w:w="1890"/>
        <w:gridCol w:w="1172"/>
        <w:gridCol w:w="1800"/>
      </w:tblGrid>
      <w:tr w:rsidR="00935467" w:rsidRPr="00CD6F4A">
        <w:tc>
          <w:tcPr>
            <w:tcW w:w="3240" w:type="dxa"/>
          </w:tcPr>
          <w:p w:rsidR="00935467" w:rsidRPr="00CD6F4A" w:rsidRDefault="00935467" w:rsidP="00646D1E">
            <w:pPr>
              <w:jc w:val="both"/>
              <w:rPr>
                <w:rFonts w:ascii="Arial" w:hAnsi="Arial"/>
                <w:sz w:val="22"/>
              </w:rPr>
            </w:pPr>
          </w:p>
        </w:tc>
        <w:tc>
          <w:tcPr>
            <w:tcW w:w="1890" w:type="dxa"/>
          </w:tcPr>
          <w:p w:rsidR="00935467" w:rsidRPr="00CD6F4A" w:rsidRDefault="00935467" w:rsidP="00935467">
            <w:pPr>
              <w:jc w:val="right"/>
              <w:rPr>
                <w:rFonts w:ascii="Arial" w:hAnsi="Arial"/>
                <w:b/>
                <w:sz w:val="22"/>
              </w:rPr>
            </w:pPr>
            <w:r w:rsidRPr="00CD6F4A">
              <w:rPr>
                <w:rFonts w:ascii="Arial" w:hAnsi="Arial"/>
                <w:b/>
                <w:sz w:val="22"/>
              </w:rPr>
              <w:t>Balance as at</w:t>
            </w:r>
          </w:p>
        </w:tc>
        <w:tc>
          <w:tcPr>
            <w:tcW w:w="1172" w:type="dxa"/>
          </w:tcPr>
          <w:p w:rsidR="00935467" w:rsidRPr="00CD6F4A" w:rsidRDefault="00935467" w:rsidP="00935467">
            <w:pPr>
              <w:jc w:val="right"/>
              <w:rPr>
                <w:rFonts w:ascii="Arial" w:hAnsi="Arial"/>
                <w:b/>
                <w:sz w:val="22"/>
              </w:rPr>
            </w:pPr>
          </w:p>
        </w:tc>
        <w:tc>
          <w:tcPr>
            <w:tcW w:w="1800" w:type="dxa"/>
          </w:tcPr>
          <w:p w:rsidR="00935467" w:rsidRPr="00CD6F4A" w:rsidRDefault="00935467" w:rsidP="00935467">
            <w:pPr>
              <w:jc w:val="right"/>
              <w:rPr>
                <w:rFonts w:ascii="Arial" w:hAnsi="Arial"/>
                <w:b/>
                <w:sz w:val="22"/>
              </w:rPr>
            </w:pPr>
            <w:r w:rsidRPr="00CD6F4A">
              <w:rPr>
                <w:rFonts w:ascii="Arial" w:hAnsi="Arial"/>
                <w:b/>
                <w:sz w:val="22"/>
              </w:rPr>
              <w:t>Balance as at</w:t>
            </w:r>
          </w:p>
        </w:tc>
      </w:tr>
      <w:tr w:rsidR="00820BC6" w:rsidRPr="00CD6F4A">
        <w:tc>
          <w:tcPr>
            <w:tcW w:w="3240" w:type="dxa"/>
          </w:tcPr>
          <w:p w:rsidR="00820BC6" w:rsidRPr="00CD6F4A" w:rsidRDefault="00820BC6" w:rsidP="00646D1E">
            <w:pPr>
              <w:jc w:val="both"/>
              <w:rPr>
                <w:rFonts w:ascii="Arial" w:hAnsi="Arial"/>
                <w:sz w:val="22"/>
              </w:rPr>
            </w:pPr>
          </w:p>
        </w:tc>
        <w:tc>
          <w:tcPr>
            <w:tcW w:w="1890" w:type="dxa"/>
          </w:tcPr>
          <w:p w:rsidR="00820BC6" w:rsidRPr="00CD6F4A" w:rsidRDefault="00820BC6" w:rsidP="00935467">
            <w:pPr>
              <w:jc w:val="right"/>
              <w:rPr>
                <w:rFonts w:ascii="Arial" w:hAnsi="Arial"/>
                <w:b/>
                <w:sz w:val="22"/>
              </w:rPr>
            </w:pPr>
            <w:r w:rsidRPr="00CD6F4A">
              <w:rPr>
                <w:rFonts w:ascii="Arial" w:hAnsi="Arial"/>
                <w:b/>
                <w:sz w:val="22"/>
              </w:rPr>
              <w:t>1 January 2010</w:t>
            </w:r>
          </w:p>
        </w:tc>
        <w:tc>
          <w:tcPr>
            <w:tcW w:w="1172" w:type="dxa"/>
          </w:tcPr>
          <w:p w:rsidR="00820BC6" w:rsidRPr="00CD6F4A" w:rsidRDefault="00820BC6" w:rsidP="00D563BA">
            <w:pPr>
              <w:jc w:val="right"/>
              <w:rPr>
                <w:rFonts w:ascii="Arial" w:hAnsi="Arial"/>
                <w:b/>
                <w:sz w:val="22"/>
              </w:rPr>
            </w:pPr>
            <w:r w:rsidRPr="00CD6F4A">
              <w:rPr>
                <w:rFonts w:ascii="Arial" w:hAnsi="Arial"/>
                <w:b/>
                <w:sz w:val="22"/>
              </w:rPr>
              <w:t xml:space="preserve">Effect of </w:t>
            </w:r>
          </w:p>
        </w:tc>
        <w:tc>
          <w:tcPr>
            <w:tcW w:w="1800" w:type="dxa"/>
          </w:tcPr>
          <w:p w:rsidR="00820BC6" w:rsidRPr="00CD6F4A" w:rsidRDefault="00820BC6" w:rsidP="00935467">
            <w:pPr>
              <w:jc w:val="right"/>
              <w:rPr>
                <w:rFonts w:ascii="Arial" w:hAnsi="Arial"/>
                <w:b/>
                <w:sz w:val="22"/>
              </w:rPr>
            </w:pPr>
            <w:r w:rsidRPr="00CD6F4A">
              <w:rPr>
                <w:rFonts w:ascii="Arial" w:hAnsi="Arial"/>
                <w:b/>
                <w:sz w:val="22"/>
              </w:rPr>
              <w:t>1 January 2010</w:t>
            </w:r>
          </w:p>
        </w:tc>
      </w:tr>
      <w:tr w:rsidR="00820BC6" w:rsidRPr="00CD6F4A">
        <w:tc>
          <w:tcPr>
            <w:tcW w:w="3240" w:type="dxa"/>
          </w:tcPr>
          <w:p w:rsidR="00820BC6" w:rsidRPr="00CD6F4A" w:rsidRDefault="00820BC6" w:rsidP="00646D1E">
            <w:pPr>
              <w:jc w:val="both"/>
              <w:rPr>
                <w:rFonts w:ascii="Arial" w:hAnsi="Arial"/>
                <w:sz w:val="22"/>
              </w:rPr>
            </w:pPr>
          </w:p>
        </w:tc>
        <w:tc>
          <w:tcPr>
            <w:tcW w:w="1890" w:type="dxa"/>
          </w:tcPr>
          <w:p w:rsidR="00820BC6" w:rsidRPr="00CD6F4A" w:rsidRDefault="00820BC6" w:rsidP="00935467">
            <w:pPr>
              <w:jc w:val="right"/>
              <w:rPr>
                <w:rFonts w:ascii="Arial" w:hAnsi="Arial"/>
                <w:b/>
                <w:sz w:val="22"/>
              </w:rPr>
            </w:pPr>
            <w:r w:rsidRPr="00CD6F4A">
              <w:rPr>
                <w:rFonts w:ascii="Arial" w:hAnsi="Arial"/>
                <w:b/>
                <w:sz w:val="22"/>
              </w:rPr>
              <w:t xml:space="preserve">before adopting </w:t>
            </w:r>
          </w:p>
        </w:tc>
        <w:tc>
          <w:tcPr>
            <w:tcW w:w="1172" w:type="dxa"/>
          </w:tcPr>
          <w:p w:rsidR="00820BC6" w:rsidRPr="00CD6F4A" w:rsidRDefault="00820BC6" w:rsidP="00D563BA">
            <w:pPr>
              <w:jc w:val="right"/>
              <w:rPr>
                <w:rFonts w:ascii="Arial" w:hAnsi="Arial"/>
                <w:b/>
                <w:sz w:val="22"/>
              </w:rPr>
            </w:pPr>
            <w:r w:rsidRPr="00CD6F4A">
              <w:rPr>
                <w:rFonts w:ascii="Arial" w:hAnsi="Arial"/>
                <w:b/>
                <w:sz w:val="22"/>
              </w:rPr>
              <w:t>adopting</w:t>
            </w:r>
          </w:p>
        </w:tc>
        <w:tc>
          <w:tcPr>
            <w:tcW w:w="1800" w:type="dxa"/>
          </w:tcPr>
          <w:p w:rsidR="00820BC6" w:rsidRPr="00CD6F4A" w:rsidRDefault="00820BC6" w:rsidP="00935467">
            <w:pPr>
              <w:jc w:val="right"/>
              <w:rPr>
                <w:rFonts w:ascii="Arial" w:hAnsi="Arial"/>
                <w:b/>
                <w:sz w:val="22"/>
              </w:rPr>
            </w:pPr>
            <w:r w:rsidRPr="00CD6F4A">
              <w:rPr>
                <w:rFonts w:ascii="Arial" w:hAnsi="Arial"/>
                <w:b/>
                <w:sz w:val="22"/>
              </w:rPr>
              <w:t xml:space="preserve">after adopting </w:t>
            </w:r>
          </w:p>
        </w:tc>
      </w:tr>
      <w:tr w:rsidR="00820BC6" w:rsidRPr="00CD6F4A">
        <w:tc>
          <w:tcPr>
            <w:tcW w:w="3240" w:type="dxa"/>
          </w:tcPr>
          <w:p w:rsidR="00820BC6" w:rsidRPr="00CD6F4A" w:rsidRDefault="00820BC6" w:rsidP="00646D1E">
            <w:pPr>
              <w:jc w:val="both"/>
              <w:rPr>
                <w:rFonts w:ascii="Arial" w:hAnsi="Arial"/>
                <w:sz w:val="22"/>
              </w:rPr>
            </w:pPr>
          </w:p>
        </w:tc>
        <w:tc>
          <w:tcPr>
            <w:tcW w:w="1890" w:type="dxa"/>
          </w:tcPr>
          <w:p w:rsidR="00820BC6" w:rsidRPr="00CD6F4A" w:rsidRDefault="00820BC6" w:rsidP="00935467">
            <w:pPr>
              <w:jc w:val="right"/>
              <w:rPr>
                <w:rFonts w:ascii="Arial" w:hAnsi="Arial"/>
                <w:b/>
                <w:sz w:val="22"/>
              </w:rPr>
            </w:pPr>
            <w:r w:rsidRPr="00CD6F4A">
              <w:rPr>
                <w:rFonts w:ascii="Arial" w:hAnsi="Arial"/>
                <w:b/>
                <w:sz w:val="22"/>
              </w:rPr>
              <w:t>FRS 139</w:t>
            </w:r>
          </w:p>
        </w:tc>
        <w:tc>
          <w:tcPr>
            <w:tcW w:w="1172" w:type="dxa"/>
          </w:tcPr>
          <w:p w:rsidR="00820BC6" w:rsidRPr="00CD6F4A" w:rsidRDefault="00820BC6" w:rsidP="00D563BA">
            <w:pPr>
              <w:jc w:val="right"/>
              <w:rPr>
                <w:rFonts w:ascii="Arial" w:hAnsi="Arial"/>
                <w:b/>
                <w:sz w:val="22"/>
              </w:rPr>
            </w:pPr>
            <w:r w:rsidRPr="00CD6F4A">
              <w:rPr>
                <w:rFonts w:ascii="Arial" w:hAnsi="Arial"/>
                <w:b/>
                <w:sz w:val="22"/>
              </w:rPr>
              <w:t>FRS 139</w:t>
            </w:r>
          </w:p>
        </w:tc>
        <w:tc>
          <w:tcPr>
            <w:tcW w:w="1800" w:type="dxa"/>
          </w:tcPr>
          <w:p w:rsidR="00820BC6" w:rsidRPr="00CD6F4A" w:rsidRDefault="00820BC6" w:rsidP="00935467">
            <w:pPr>
              <w:jc w:val="right"/>
              <w:rPr>
                <w:rFonts w:ascii="Arial" w:hAnsi="Arial"/>
                <w:b/>
                <w:sz w:val="22"/>
              </w:rPr>
            </w:pPr>
            <w:r w:rsidRPr="00CD6F4A">
              <w:rPr>
                <w:rFonts w:ascii="Arial" w:hAnsi="Arial"/>
                <w:b/>
                <w:sz w:val="22"/>
              </w:rPr>
              <w:t>FRS 139</w:t>
            </w:r>
          </w:p>
        </w:tc>
      </w:tr>
      <w:tr w:rsidR="00820BC6" w:rsidRPr="00CD6F4A">
        <w:tc>
          <w:tcPr>
            <w:tcW w:w="3240" w:type="dxa"/>
          </w:tcPr>
          <w:p w:rsidR="00820BC6" w:rsidRPr="00CD6F4A" w:rsidRDefault="00820BC6" w:rsidP="00646D1E">
            <w:pPr>
              <w:jc w:val="both"/>
              <w:rPr>
                <w:rFonts w:ascii="Arial" w:hAnsi="Arial"/>
                <w:sz w:val="22"/>
              </w:rPr>
            </w:pPr>
          </w:p>
        </w:tc>
        <w:tc>
          <w:tcPr>
            <w:tcW w:w="1890" w:type="dxa"/>
          </w:tcPr>
          <w:p w:rsidR="00820BC6" w:rsidRPr="00CD6F4A" w:rsidRDefault="00820BC6" w:rsidP="00935467">
            <w:pPr>
              <w:jc w:val="right"/>
              <w:rPr>
                <w:rFonts w:ascii="Arial" w:hAnsi="Arial"/>
                <w:b/>
                <w:sz w:val="22"/>
              </w:rPr>
            </w:pPr>
            <w:r w:rsidRPr="00CD6F4A">
              <w:rPr>
                <w:rFonts w:ascii="Arial" w:hAnsi="Arial"/>
                <w:b/>
                <w:sz w:val="22"/>
              </w:rPr>
              <w:t>RM’000</w:t>
            </w:r>
          </w:p>
        </w:tc>
        <w:tc>
          <w:tcPr>
            <w:tcW w:w="1172" w:type="dxa"/>
          </w:tcPr>
          <w:p w:rsidR="00820BC6" w:rsidRPr="00CD6F4A" w:rsidRDefault="00820BC6" w:rsidP="00935467">
            <w:pPr>
              <w:jc w:val="right"/>
              <w:rPr>
                <w:rFonts w:ascii="Arial" w:hAnsi="Arial"/>
                <w:b/>
                <w:sz w:val="22"/>
              </w:rPr>
            </w:pPr>
            <w:r w:rsidRPr="00CD6F4A">
              <w:rPr>
                <w:rFonts w:ascii="Arial" w:hAnsi="Arial"/>
                <w:b/>
                <w:sz w:val="22"/>
              </w:rPr>
              <w:t>RM’000</w:t>
            </w:r>
          </w:p>
        </w:tc>
        <w:tc>
          <w:tcPr>
            <w:tcW w:w="1800" w:type="dxa"/>
          </w:tcPr>
          <w:p w:rsidR="00820BC6" w:rsidRPr="00CD6F4A" w:rsidRDefault="00820BC6" w:rsidP="00935467">
            <w:pPr>
              <w:jc w:val="right"/>
              <w:rPr>
                <w:rFonts w:ascii="Arial" w:hAnsi="Arial"/>
                <w:b/>
                <w:sz w:val="22"/>
              </w:rPr>
            </w:pPr>
            <w:r w:rsidRPr="00CD6F4A">
              <w:rPr>
                <w:rFonts w:ascii="Arial" w:hAnsi="Arial"/>
                <w:b/>
                <w:sz w:val="22"/>
              </w:rPr>
              <w:t>RM’000</w:t>
            </w:r>
          </w:p>
        </w:tc>
      </w:tr>
      <w:tr w:rsidR="00820BC6" w:rsidRPr="00CD6F4A">
        <w:tc>
          <w:tcPr>
            <w:tcW w:w="3240" w:type="dxa"/>
          </w:tcPr>
          <w:p w:rsidR="00820BC6" w:rsidRPr="00CD6F4A" w:rsidRDefault="00820BC6" w:rsidP="00646D1E">
            <w:pPr>
              <w:jc w:val="both"/>
              <w:rPr>
                <w:rFonts w:ascii="Arial" w:hAnsi="Arial"/>
                <w:sz w:val="22"/>
              </w:rPr>
            </w:pPr>
          </w:p>
        </w:tc>
        <w:tc>
          <w:tcPr>
            <w:tcW w:w="1890" w:type="dxa"/>
          </w:tcPr>
          <w:p w:rsidR="00820BC6" w:rsidRPr="00CD6F4A" w:rsidRDefault="00820BC6" w:rsidP="00646D1E">
            <w:pPr>
              <w:jc w:val="both"/>
              <w:rPr>
                <w:rFonts w:ascii="Arial" w:hAnsi="Arial"/>
                <w:sz w:val="22"/>
              </w:rPr>
            </w:pPr>
          </w:p>
        </w:tc>
        <w:tc>
          <w:tcPr>
            <w:tcW w:w="1172" w:type="dxa"/>
          </w:tcPr>
          <w:p w:rsidR="00820BC6" w:rsidRPr="00CD6F4A" w:rsidRDefault="00820BC6" w:rsidP="00646D1E">
            <w:pPr>
              <w:jc w:val="both"/>
              <w:rPr>
                <w:rFonts w:ascii="Arial" w:hAnsi="Arial"/>
                <w:sz w:val="22"/>
              </w:rPr>
            </w:pPr>
          </w:p>
        </w:tc>
        <w:tc>
          <w:tcPr>
            <w:tcW w:w="1800" w:type="dxa"/>
          </w:tcPr>
          <w:p w:rsidR="00820BC6" w:rsidRPr="00CD6F4A" w:rsidRDefault="00820BC6" w:rsidP="00646D1E">
            <w:pPr>
              <w:jc w:val="both"/>
              <w:rPr>
                <w:rFonts w:ascii="Arial" w:hAnsi="Arial"/>
                <w:sz w:val="22"/>
              </w:rPr>
            </w:pPr>
          </w:p>
        </w:tc>
      </w:tr>
      <w:tr w:rsidR="00820BC6" w:rsidRPr="00CD6F4A">
        <w:tc>
          <w:tcPr>
            <w:tcW w:w="3240" w:type="dxa"/>
          </w:tcPr>
          <w:p w:rsidR="00820BC6" w:rsidRPr="00CD6F4A" w:rsidRDefault="00820BC6" w:rsidP="00646D1E">
            <w:pPr>
              <w:jc w:val="both"/>
              <w:rPr>
                <w:rFonts w:ascii="Arial" w:hAnsi="Arial"/>
                <w:sz w:val="22"/>
              </w:rPr>
            </w:pPr>
            <w:r w:rsidRPr="00CD6F4A">
              <w:rPr>
                <w:rFonts w:ascii="Arial" w:hAnsi="Arial"/>
                <w:sz w:val="22"/>
              </w:rPr>
              <w:t>Fair value reserve</w:t>
            </w:r>
          </w:p>
        </w:tc>
        <w:tc>
          <w:tcPr>
            <w:tcW w:w="1890" w:type="dxa"/>
          </w:tcPr>
          <w:p w:rsidR="00820BC6" w:rsidRPr="00CD6F4A" w:rsidRDefault="00820BC6" w:rsidP="00010573">
            <w:pPr>
              <w:tabs>
                <w:tab w:val="decimal" w:pos="1512"/>
              </w:tabs>
              <w:jc w:val="both"/>
              <w:rPr>
                <w:rFonts w:ascii="Arial" w:hAnsi="Arial"/>
                <w:sz w:val="22"/>
              </w:rPr>
            </w:pPr>
            <w:r w:rsidRPr="00CD6F4A">
              <w:rPr>
                <w:rFonts w:ascii="Arial" w:hAnsi="Arial"/>
                <w:sz w:val="22"/>
              </w:rPr>
              <w:t>-</w:t>
            </w:r>
          </w:p>
        </w:tc>
        <w:tc>
          <w:tcPr>
            <w:tcW w:w="1172" w:type="dxa"/>
          </w:tcPr>
          <w:p w:rsidR="00820BC6" w:rsidRPr="00CD6F4A" w:rsidRDefault="00C97EF2" w:rsidP="002C3E53">
            <w:pPr>
              <w:tabs>
                <w:tab w:val="decimal" w:pos="882"/>
              </w:tabs>
              <w:jc w:val="both"/>
              <w:rPr>
                <w:rFonts w:ascii="Arial" w:hAnsi="Arial"/>
                <w:sz w:val="22"/>
              </w:rPr>
            </w:pPr>
            <w:r w:rsidRPr="00CD6F4A">
              <w:rPr>
                <w:rFonts w:ascii="Arial" w:hAnsi="Arial"/>
                <w:sz w:val="22"/>
              </w:rPr>
              <w:t>111</w:t>
            </w:r>
          </w:p>
        </w:tc>
        <w:tc>
          <w:tcPr>
            <w:tcW w:w="1800" w:type="dxa"/>
          </w:tcPr>
          <w:p w:rsidR="00820BC6" w:rsidRPr="00CD6F4A" w:rsidRDefault="00C97EF2" w:rsidP="00010573">
            <w:pPr>
              <w:tabs>
                <w:tab w:val="decimal" w:pos="1452"/>
              </w:tabs>
              <w:jc w:val="both"/>
              <w:rPr>
                <w:rFonts w:ascii="Arial" w:hAnsi="Arial"/>
                <w:sz w:val="22"/>
              </w:rPr>
            </w:pPr>
            <w:r w:rsidRPr="00CD6F4A">
              <w:rPr>
                <w:rFonts w:ascii="Arial" w:hAnsi="Arial"/>
                <w:sz w:val="22"/>
              </w:rPr>
              <w:t>111</w:t>
            </w:r>
          </w:p>
        </w:tc>
      </w:tr>
      <w:tr w:rsidR="00820BC6" w:rsidRPr="00CD6F4A">
        <w:tc>
          <w:tcPr>
            <w:tcW w:w="3240" w:type="dxa"/>
          </w:tcPr>
          <w:p w:rsidR="00820BC6" w:rsidRPr="00CD6F4A" w:rsidRDefault="00820BC6" w:rsidP="00646D1E">
            <w:pPr>
              <w:jc w:val="both"/>
              <w:rPr>
                <w:rFonts w:ascii="Arial" w:hAnsi="Arial"/>
                <w:sz w:val="22"/>
              </w:rPr>
            </w:pPr>
            <w:r w:rsidRPr="00CD6F4A">
              <w:rPr>
                <w:rFonts w:ascii="Arial" w:hAnsi="Arial"/>
                <w:sz w:val="22"/>
              </w:rPr>
              <w:t>Other investments</w:t>
            </w:r>
          </w:p>
        </w:tc>
        <w:tc>
          <w:tcPr>
            <w:tcW w:w="1890" w:type="dxa"/>
          </w:tcPr>
          <w:p w:rsidR="00820BC6" w:rsidRPr="00CD6F4A" w:rsidRDefault="00820BC6" w:rsidP="00010573">
            <w:pPr>
              <w:tabs>
                <w:tab w:val="decimal" w:pos="1512"/>
              </w:tabs>
              <w:jc w:val="both"/>
              <w:rPr>
                <w:rFonts w:ascii="Arial" w:hAnsi="Arial"/>
                <w:sz w:val="22"/>
              </w:rPr>
            </w:pPr>
            <w:r w:rsidRPr="00CD6F4A">
              <w:rPr>
                <w:rFonts w:ascii="Arial" w:hAnsi="Arial"/>
                <w:sz w:val="22"/>
              </w:rPr>
              <w:t>925</w:t>
            </w:r>
          </w:p>
        </w:tc>
        <w:tc>
          <w:tcPr>
            <w:tcW w:w="1172" w:type="dxa"/>
          </w:tcPr>
          <w:p w:rsidR="00820BC6" w:rsidRPr="00CD6F4A" w:rsidRDefault="00820BC6" w:rsidP="002C3E53">
            <w:pPr>
              <w:tabs>
                <w:tab w:val="decimal" w:pos="882"/>
              </w:tabs>
              <w:jc w:val="both"/>
              <w:rPr>
                <w:rFonts w:ascii="Arial" w:hAnsi="Arial"/>
                <w:sz w:val="22"/>
              </w:rPr>
            </w:pPr>
            <w:r w:rsidRPr="00CD6F4A">
              <w:rPr>
                <w:rFonts w:ascii="Arial" w:hAnsi="Arial"/>
                <w:sz w:val="22"/>
              </w:rPr>
              <w:t>(925)</w:t>
            </w:r>
          </w:p>
        </w:tc>
        <w:tc>
          <w:tcPr>
            <w:tcW w:w="1800" w:type="dxa"/>
          </w:tcPr>
          <w:p w:rsidR="00820BC6" w:rsidRPr="00CD6F4A" w:rsidRDefault="00820BC6" w:rsidP="00010573">
            <w:pPr>
              <w:tabs>
                <w:tab w:val="decimal" w:pos="1452"/>
              </w:tabs>
              <w:jc w:val="both"/>
              <w:rPr>
                <w:rFonts w:ascii="Arial" w:hAnsi="Arial"/>
                <w:sz w:val="22"/>
              </w:rPr>
            </w:pPr>
            <w:r w:rsidRPr="00CD6F4A">
              <w:rPr>
                <w:rFonts w:ascii="Arial" w:hAnsi="Arial"/>
                <w:sz w:val="22"/>
              </w:rPr>
              <w:t>-</w:t>
            </w:r>
          </w:p>
        </w:tc>
      </w:tr>
      <w:tr w:rsidR="00820BC6" w:rsidRPr="00CD6F4A">
        <w:tc>
          <w:tcPr>
            <w:tcW w:w="3240" w:type="dxa"/>
          </w:tcPr>
          <w:p w:rsidR="00820BC6" w:rsidRPr="00CD6F4A" w:rsidRDefault="00820BC6" w:rsidP="00646D1E">
            <w:pPr>
              <w:jc w:val="both"/>
              <w:rPr>
                <w:rFonts w:ascii="Arial" w:hAnsi="Arial"/>
                <w:sz w:val="22"/>
              </w:rPr>
            </w:pPr>
            <w:r w:rsidRPr="00CD6F4A">
              <w:rPr>
                <w:rFonts w:ascii="Arial" w:hAnsi="Arial"/>
                <w:sz w:val="22"/>
              </w:rPr>
              <w:t>Available-for-sale investments</w:t>
            </w:r>
          </w:p>
        </w:tc>
        <w:tc>
          <w:tcPr>
            <w:tcW w:w="1890" w:type="dxa"/>
            <w:tcBorders>
              <w:bottom w:val="single" w:sz="12" w:space="0" w:color="auto"/>
            </w:tcBorders>
          </w:tcPr>
          <w:p w:rsidR="00820BC6" w:rsidRPr="00CD6F4A" w:rsidRDefault="00820BC6" w:rsidP="00010573">
            <w:pPr>
              <w:tabs>
                <w:tab w:val="decimal" w:pos="1512"/>
              </w:tabs>
              <w:jc w:val="both"/>
              <w:rPr>
                <w:rFonts w:ascii="Arial" w:hAnsi="Arial"/>
                <w:sz w:val="22"/>
              </w:rPr>
            </w:pPr>
            <w:r w:rsidRPr="00CD6F4A">
              <w:rPr>
                <w:rFonts w:ascii="Arial" w:hAnsi="Arial"/>
                <w:sz w:val="22"/>
              </w:rPr>
              <w:t>-</w:t>
            </w:r>
          </w:p>
        </w:tc>
        <w:tc>
          <w:tcPr>
            <w:tcW w:w="1172" w:type="dxa"/>
            <w:tcBorders>
              <w:bottom w:val="single" w:sz="12" w:space="0" w:color="auto"/>
            </w:tcBorders>
          </w:tcPr>
          <w:p w:rsidR="00820BC6" w:rsidRPr="00CD6F4A" w:rsidRDefault="00C97EF2" w:rsidP="002C3E53">
            <w:pPr>
              <w:tabs>
                <w:tab w:val="decimal" w:pos="882"/>
              </w:tabs>
              <w:jc w:val="both"/>
              <w:rPr>
                <w:rFonts w:ascii="Arial" w:hAnsi="Arial"/>
                <w:sz w:val="22"/>
              </w:rPr>
            </w:pPr>
            <w:r w:rsidRPr="00CD6F4A">
              <w:rPr>
                <w:rFonts w:ascii="Arial" w:hAnsi="Arial"/>
                <w:sz w:val="22"/>
              </w:rPr>
              <w:t>814</w:t>
            </w:r>
          </w:p>
        </w:tc>
        <w:tc>
          <w:tcPr>
            <w:tcW w:w="1800" w:type="dxa"/>
            <w:tcBorders>
              <w:bottom w:val="single" w:sz="12" w:space="0" w:color="auto"/>
            </w:tcBorders>
          </w:tcPr>
          <w:p w:rsidR="00820BC6" w:rsidRPr="00CD6F4A" w:rsidRDefault="00C97EF2" w:rsidP="00010573">
            <w:pPr>
              <w:tabs>
                <w:tab w:val="decimal" w:pos="1452"/>
              </w:tabs>
              <w:jc w:val="both"/>
              <w:rPr>
                <w:rFonts w:ascii="Arial" w:hAnsi="Arial"/>
                <w:sz w:val="22"/>
              </w:rPr>
            </w:pPr>
            <w:r w:rsidRPr="00CD6F4A">
              <w:rPr>
                <w:rFonts w:ascii="Arial" w:hAnsi="Arial"/>
                <w:sz w:val="22"/>
              </w:rPr>
              <w:t>814</w:t>
            </w:r>
          </w:p>
        </w:tc>
      </w:tr>
    </w:tbl>
    <w:p w:rsidR="000F1463" w:rsidRPr="00CD6F4A" w:rsidRDefault="000F1463" w:rsidP="00646D1E">
      <w:pPr>
        <w:ind w:left="720"/>
        <w:jc w:val="both"/>
        <w:rPr>
          <w:rFonts w:ascii="Arial" w:hAnsi="Arial"/>
          <w:sz w:val="22"/>
        </w:rPr>
      </w:pPr>
    </w:p>
    <w:p w:rsidR="004C41FA" w:rsidRPr="00CD6F4A" w:rsidRDefault="004C41FA" w:rsidP="004C41FA">
      <w:pPr>
        <w:ind w:left="1440"/>
        <w:jc w:val="both"/>
        <w:rPr>
          <w:rFonts w:ascii="Arial" w:hAnsi="Arial"/>
          <w:sz w:val="22"/>
        </w:rPr>
      </w:pPr>
      <w:r w:rsidRPr="00CD6F4A">
        <w:rPr>
          <w:rFonts w:ascii="Arial" w:hAnsi="Arial"/>
          <w:sz w:val="22"/>
        </w:rPr>
        <w:t>The effects on the adoption of FRS 139 on the current interim financial statements are as follows:-</w:t>
      </w:r>
    </w:p>
    <w:p w:rsidR="004C41FA" w:rsidRPr="00CD6F4A" w:rsidRDefault="004C41FA" w:rsidP="00646D1E">
      <w:pPr>
        <w:ind w:left="720"/>
        <w:jc w:val="both"/>
        <w:rPr>
          <w:rFonts w:ascii="Arial" w:hAnsi="Arial"/>
          <w:sz w:val="22"/>
        </w:rPr>
      </w:pPr>
      <w:r w:rsidRPr="00CD6F4A">
        <w:rPr>
          <w:rFonts w:ascii="Arial" w:hAnsi="Arial"/>
          <w:sz w:val="22"/>
        </w:rPr>
        <w:tab/>
      </w:r>
    </w:p>
    <w:tbl>
      <w:tblPr>
        <w:tblStyle w:val="TableGrid"/>
        <w:tblW w:w="8100"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60"/>
        <w:gridCol w:w="1620"/>
        <w:gridCol w:w="1620"/>
      </w:tblGrid>
      <w:tr w:rsidR="00D03556" w:rsidRPr="00CD6F4A">
        <w:tc>
          <w:tcPr>
            <w:tcW w:w="4860" w:type="dxa"/>
          </w:tcPr>
          <w:p w:rsidR="00D03556" w:rsidRPr="00CD6F4A" w:rsidRDefault="00D03556" w:rsidP="00646D1E">
            <w:pPr>
              <w:jc w:val="both"/>
              <w:rPr>
                <w:rFonts w:ascii="Arial" w:hAnsi="Arial"/>
                <w:sz w:val="22"/>
              </w:rPr>
            </w:pPr>
          </w:p>
        </w:tc>
        <w:tc>
          <w:tcPr>
            <w:tcW w:w="1620" w:type="dxa"/>
          </w:tcPr>
          <w:p w:rsidR="00D03556" w:rsidRDefault="00D03556" w:rsidP="004C3B9B">
            <w:pPr>
              <w:jc w:val="right"/>
              <w:rPr>
                <w:rFonts w:ascii="Arial" w:hAnsi="Arial"/>
                <w:b/>
                <w:sz w:val="22"/>
              </w:rPr>
            </w:pPr>
            <w:r>
              <w:rPr>
                <w:rFonts w:ascii="Arial" w:hAnsi="Arial"/>
                <w:b/>
                <w:sz w:val="22"/>
              </w:rPr>
              <w:t>Current Year</w:t>
            </w:r>
          </w:p>
        </w:tc>
        <w:tc>
          <w:tcPr>
            <w:tcW w:w="1620" w:type="dxa"/>
          </w:tcPr>
          <w:p w:rsidR="00D03556" w:rsidRDefault="00D03556" w:rsidP="004C41FA">
            <w:pPr>
              <w:jc w:val="right"/>
              <w:rPr>
                <w:rFonts w:ascii="Arial" w:hAnsi="Arial"/>
                <w:b/>
                <w:sz w:val="22"/>
              </w:rPr>
            </w:pPr>
            <w:r>
              <w:rPr>
                <w:rFonts w:ascii="Arial" w:hAnsi="Arial"/>
                <w:b/>
                <w:sz w:val="22"/>
              </w:rPr>
              <w:t>Current Year</w:t>
            </w:r>
          </w:p>
        </w:tc>
      </w:tr>
      <w:tr w:rsidR="00D03556" w:rsidRPr="00CD6F4A">
        <w:tc>
          <w:tcPr>
            <w:tcW w:w="4860" w:type="dxa"/>
          </w:tcPr>
          <w:p w:rsidR="00D03556" w:rsidRPr="00CD6F4A" w:rsidRDefault="00D03556" w:rsidP="00646D1E">
            <w:pPr>
              <w:jc w:val="both"/>
              <w:rPr>
                <w:rFonts w:ascii="Arial" w:hAnsi="Arial"/>
                <w:sz w:val="22"/>
              </w:rPr>
            </w:pPr>
          </w:p>
        </w:tc>
        <w:tc>
          <w:tcPr>
            <w:tcW w:w="1620" w:type="dxa"/>
          </w:tcPr>
          <w:p w:rsidR="00D03556" w:rsidRDefault="00D03556" w:rsidP="004C3B9B">
            <w:pPr>
              <w:jc w:val="right"/>
              <w:rPr>
                <w:rFonts w:ascii="Arial" w:hAnsi="Arial"/>
                <w:b/>
                <w:sz w:val="22"/>
              </w:rPr>
            </w:pPr>
            <w:r>
              <w:rPr>
                <w:rFonts w:ascii="Arial" w:hAnsi="Arial"/>
                <w:b/>
                <w:sz w:val="22"/>
              </w:rPr>
              <w:t>Quarter</w:t>
            </w:r>
          </w:p>
        </w:tc>
        <w:tc>
          <w:tcPr>
            <w:tcW w:w="1620" w:type="dxa"/>
          </w:tcPr>
          <w:p w:rsidR="00D03556" w:rsidRDefault="00D03556" w:rsidP="004C41FA">
            <w:pPr>
              <w:jc w:val="right"/>
              <w:rPr>
                <w:rFonts w:ascii="Arial" w:hAnsi="Arial"/>
                <w:b/>
                <w:sz w:val="22"/>
              </w:rPr>
            </w:pPr>
            <w:r>
              <w:rPr>
                <w:rFonts w:ascii="Arial" w:hAnsi="Arial"/>
                <w:b/>
                <w:sz w:val="22"/>
              </w:rPr>
              <w:t>To Date</w:t>
            </w:r>
          </w:p>
        </w:tc>
      </w:tr>
      <w:tr w:rsidR="00D03556" w:rsidRPr="00CD6F4A">
        <w:tc>
          <w:tcPr>
            <w:tcW w:w="4860" w:type="dxa"/>
          </w:tcPr>
          <w:p w:rsidR="00D03556" w:rsidRPr="00CD6F4A" w:rsidRDefault="00D03556" w:rsidP="00646D1E">
            <w:pPr>
              <w:jc w:val="both"/>
              <w:rPr>
                <w:rFonts w:ascii="Arial" w:hAnsi="Arial"/>
                <w:sz w:val="22"/>
              </w:rPr>
            </w:pPr>
          </w:p>
        </w:tc>
        <w:tc>
          <w:tcPr>
            <w:tcW w:w="1620" w:type="dxa"/>
          </w:tcPr>
          <w:p w:rsidR="00D03556" w:rsidRPr="00CD6F4A" w:rsidRDefault="00D03556" w:rsidP="004C3B9B">
            <w:pPr>
              <w:jc w:val="right"/>
              <w:rPr>
                <w:rFonts w:ascii="Arial" w:hAnsi="Arial"/>
                <w:b/>
                <w:sz w:val="22"/>
              </w:rPr>
            </w:pPr>
            <w:r>
              <w:rPr>
                <w:rFonts w:ascii="Arial" w:hAnsi="Arial"/>
                <w:b/>
                <w:sz w:val="22"/>
              </w:rPr>
              <w:t>De</w:t>
            </w:r>
            <w:r w:rsidRPr="00CD6F4A">
              <w:rPr>
                <w:rFonts w:ascii="Arial" w:hAnsi="Arial"/>
                <w:b/>
                <w:sz w:val="22"/>
              </w:rPr>
              <w:t>crease</w:t>
            </w:r>
          </w:p>
        </w:tc>
        <w:tc>
          <w:tcPr>
            <w:tcW w:w="1620" w:type="dxa"/>
          </w:tcPr>
          <w:p w:rsidR="00D03556" w:rsidRPr="00CD6F4A" w:rsidRDefault="00D03556" w:rsidP="004C41FA">
            <w:pPr>
              <w:jc w:val="right"/>
              <w:rPr>
                <w:rFonts w:ascii="Arial" w:hAnsi="Arial"/>
                <w:b/>
                <w:sz w:val="22"/>
              </w:rPr>
            </w:pPr>
            <w:r>
              <w:rPr>
                <w:rFonts w:ascii="Arial" w:hAnsi="Arial"/>
                <w:b/>
                <w:sz w:val="22"/>
              </w:rPr>
              <w:t>Increase</w:t>
            </w:r>
          </w:p>
        </w:tc>
      </w:tr>
      <w:tr w:rsidR="00D03556" w:rsidRPr="00CD6F4A">
        <w:tc>
          <w:tcPr>
            <w:tcW w:w="4860" w:type="dxa"/>
          </w:tcPr>
          <w:p w:rsidR="00D03556" w:rsidRPr="00CD6F4A" w:rsidRDefault="00D03556" w:rsidP="00646D1E">
            <w:pPr>
              <w:jc w:val="both"/>
              <w:rPr>
                <w:rFonts w:ascii="Arial" w:hAnsi="Arial"/>
                <w:sz w:val="22"/>
              </w:rPr>
            </w:pPr>
          </w:p>
        </w:tc>
        <w:tc>
          <w:tcPr>
            <w:tcW w:w="1620" w:type="dxa"/>
          </w:tcPr>
          <w:p w:rsidR="00D03556" w:rsidRPr="00CD6F4A" w:rsidRDefault="00D03556" w:rsidP="004C3B9B">
            <w:pPr>
              <w:jc w:val="right"/>
              <w:rPr>
                <w:rFonts w:ascii="Arial" w:hAnsi="Arial"/>
                <w:b/>
                <w:sz w:val="22"/>
              </w:rPr>
            </w:pPr>
            <w:r w:rsidRPr="00CD6F4A">
              <w:rPr>
                <w:rFonts w:ascii="Arial" w:hAnsi="Arial"/>
                <w:b/>
                <w:sz w:val="22"/>
              </w:rPr>
              <w:t>RM’000</w:t>
            </w:r>
          </w:p>
        </w:tc>
        <w:tc>
          <w:tcPr>
            <w:tcW w:w="1620" w:type="dxa"/>
          </w:tcPr>
          <w:p w:rsidR="00D03556" w:rsidRPr="00CD6F4A" w:rsidRDefault="00D03556" w:rsidP="004C41FA">
            <w:pPr>
              <w:jc w:val="right"/>
              <w:rPr>
                <w:rFonts w:ascii="Arial" w:hAnsi="Arial"/>
                <w:b/>
                <w:sz w:val="22"/>
              </w:rPr>
            </w:pPr>
            <w:r w:rsidRPr="00CD6F4A">
              <w:rPr>
                <w:rFonts w:ascii="Arial" w:hAnsi="Arial"/>
                <w:b/>
                <w:sz w:val="22"/>
              </w:rPr>
              <w:t>RM’000</w:t>
            </w:r>
          </w:p>
        </w:tc>
      </w:tr>
      <w:tr w:rsidR="00D03556" w:rsidRPr="00CD6F4A">
        <w:tc>
          <w:tcPr>
            <w:tcW w:w="4860" w:type="dxa"/>
          </w:tcPr>
          <w:p w:rsidR="00D03556" w:rsidRPr="00CD6F4A" w:rsidRDefault="00D03556" w:rsidP="00646D1E">
            <w:pPr>
              <w:jc w:val="both"/>
              <w:rPr>
                <w:rFonts w:ascii="Arial" w:hAnsi="Arial"/>
                <w:b/>
                <w:sz w:val="22"/>
              </w:rPr>
            </w:pPr>
            <w:r w:rsidRPr="00CD6F4A">
              <w:rPr>
                <w:rFonts w:ascii="Arial" w:hAnsi="Arial"/>
                <w:b/>
                <w:sz w:val="22"/>
              </w:rPr>
              <w:t>Consolidated statement of financial position</w:t>
            </w:r>
          </w:p>
        </w:tc>
        <w:tc>
          <w:tcPr>
            <w:tcW w:w="1620" w:type="dxa"/>
          </w:tcPr>
          <w:p w:rsidR="00D03556" w:rsidRPr="00CD6F4A" w:rsidRDefault="00D03556" w:rsidP="004C3B9B">
            <w:pPr>
              <w:jc w:val="both"/>
              <w:rPr>
                <w:rFonts w:ascii="Arial" w:hAnsi="Arial"/>
                <w:sz w:val="22"/>
              </w:rPr>
            </w:pPr>
          </w:p>
        </w:tc>
        <w:tc>
          <w:tcPr>
            <w:tcW w:w="1620" w:type="dxa"/>
          </w:tcPr>
          <w:p w:rsidR="00D03556" w:rsidRPr="00CD6F4A" w:rsidRDefault="00D03556" w:rsidP="00646D1E">
            <w:pPr>
              <w:jc w:val="both"/>
              <w:rPr>
                <w:rFonts w:ascii="Arial" w:hAnsi="Arial"/>
                <w:sz w:val="22"/>
              </w:rPr>
            </w:pPr>
          </w:p>
        </w:tc>
      </w:tr>
      <w:tr w:rsidR="00D03556" w:rsidRPr="00CD6F4A">
        <w:tc>
          <w:tcPr>
            <w:tcW w:w="4860" w:type="dxa"/>
          </w:tcPr>
          <w:p w:rsidR="00D03556" w:rsidRPr="00CD6F4A" w:rsidRDefault="00D03556" w:rsidP="00646D1E">
            <w:pPr>
              <w:jc w:val="both"/>
              <w:rPr>
                <w:rFonts w:ascii="Arial" w:hAnsi="Arial"/>
                <w:sz w:val="22"/>
              </w:rPr>
            </w:pPr>
            <w:r w:rsidRPr="00CD6F4A">
              <w:rPr>
                <w:rFonts w:ascii="Arial" w:hAnsi="Arial"/>
                <w:sz w:val="22"/>
              </w:rPr>
              <w:t>Fair value reserve</w:t>
            </w:r>
          </w:p>
        </w:tc>
        <w:tc>
          <w:tcPr>
            <w:tcW w:w="1620" w:type="dxa"/>
          </w:tcPr>
          <w:p w:rsidR="00D03556" w:rsidRPr="00CD6F4A" w:rsidRDefault="00D03556" w:rsidP="004C3B9B">
            <w:pPr>
              <w:tabs>
                <w:tab w:val="decimal" w:pos="1062"/>
              </w:tabs>
              <w:jc w:val="both"/>
              <w:rPr>
                <w:rFonts w:ascii="Arial" w:hAnsi="Arial"/>
                <w:sz w:val="22"/>
              </w:rPr>
            </w:pPr>
            <w:r>
              <w:rPr>
                <w:rFonts w:ascii="Arial" w:hAnsi="Arial"/>
                <w:sz w:val="22"/>
              </w:rPr>
              <w:t>(89)</w:t>
            </w:r>
          </w:p>
        </w:tc>
        <w:tc>
          <w:tcPr>
            <w:tcW w:w="1620" w:type="dxa"/>
          </w:tcPr>
          <w:p w:rsidR="00D03556" w:rsidRPr="00CD6F4A" w:rsidRDefault="00D03556" w:rsidP="0079553D">
            <w:pPr>
              <w:tabs>
                <w:tab w:val="decimal" w:pos="1062"/>
              </w:tabs>
              <w:jc w:val="both"/>
              <w:rPr>
                <w:rFonts w:ascii="Arial" w:hAnsi="Arial"/>
                <w:sz w:val="22"/>
              </w:rPr>
            </w:pPr>
            <w:r>
              <w:rPr>
                <w:rFonts w:ascii="Arial" w:hAnsi="Arial"/>
                <w:sz w:val="22"/>
              </w:rPr>
              <w:t>50</w:t>
            </w:r>
          </w:p>
        </w:tc>
      </w:tr>
      <w:tr w:rsidR="00D03556" w:rsidRPr="00CD6F4A">
        <w:tc>
          <w:tcPr>
            <w:tcW w:w="4860" w:type="dxa"/>
          </w:tcPr>
          <w:p w:rsidR="00D03556" w:rsidRPr="00CD6F4A" w:rsidRDefault="00D03556" w:rsidP="00646D1E">
            <w:pPr>
              <w:jc w:val="both"/>
              <w:rPr>
                <w:rFonts w:ascii="Arial" w:hAnsi="Arial"/>
                <w:sz w:val="22"/>
              </w:rPr>
            </w:pPr>
            <w:r w:rsidRPr="00CD6F4A">
              <w:rPr>
                <w:rFonts w:ascii="Arial" w:hAnsi="Arial"/>
                <w:sz w:val="22"/>
              </w:rPr>
              <w:t>Available-for-sale investments</w:t>
            </w:r>
          </w:p>
        </w:tc>
        <w:tc>
          <w:tcPr>
            <w:tcW w:w="1620" w:type="dxa"/>
            <w:tcBorders>
              <w:bottom w:val="single" w:sz="12" w:space="0" w:color="auto"/>
            </w:tcBorders>
          </w:tcPr>
          <w:p w:rsidR="00D03556" w:rsidRPr="00CD6F4A" w:rsidRDefault="00D03556" w:rsidP="004C3B9B">
            <w:pPr>
              <w:tabs>
                <w:tab w:val="decimal" w:pos="1062"/>
              </w:tabs>
              <w:jc w:val="both"/>
              <w:rPr>
                <w:rFonts w:ascii="Arial" w:hAnsi="Arial"/>
                <w:sz w:val="22"/>
              </w:rPr>
            </w:pPr>
            <w:r>
              <w:rPr>
                <w:rFonts w:ascii="Arial" w:hAnsi="Arial"/>
                <w:sz w:val="22"/>
              </w:rPr>
              <w:t>(89)</w:t>
            </w:r>
          </w:p>
        </w:tc>
        <w:tc>
          <w:tcPr>
            <w:tcW w:w="1620" w:type="dxa"/>
            <w:tcBorders>
              <w:bottom w:val="single" w:sz="12" w:space="0" w:color="auto"/>
            </w:tcBorders>
          </w:tcPr>
          <w:p w:rsidR="00D03556" w:rsidRPr="00CD6F4A" w:rsidRDefault="00D03556" w:rsidP="0079553D">
            <w:pPr>
              <w:tabs>
                <w:tab w:val="decimal" w:pos="1062"/>
              </w:tabs>
              <w:jc w:val="both"/>
              <w:rPr>
                <w:rFonts w:ascii="Arial" w:hAnsi="Arial"/>
                <w:sz w:val="22"/>
              </w:rPr>
            </w:pPr>
            <w:r>
              <w:rPr>
                <w:rFonts w:ascii="Arial" w:hAnsi="Arial"/>
                <w:sz w:val="22"/>
              </w:rPr>
              <w:t>50</w:t>
            </w:r>
          </w:p>
        </w:tc>
      </w:tr>
      <w:tr w:rsidR="00D03556" w:rsidRPr="00CD6F4A">
        <w:tc>
          <w:tcPr>
            <w:tcW w:w="4860" w:type="dxa"/>
          </w:tcPr>
          <w:p w:rsidR="00D03556" w:rsidRPr="00CD6F4A" w:rsidRDefault="00D03556" w:rsidP="00646D1E">
            <w:pPr>
              <w:jc w:val="both"/>
              <w:rPr>
                <w:rFonts w:ascii="Arial" w:hAnsi="Arial"/>
                <w:sz w:val="22"/>
              </w:rPr>
            </w:pPr>
          </w:p>
        </w:tc>
        <w:tc>
          <w:tcPr>
            <w:tcW w:w="1620" w:type="dxa"/>
            <w:tcBorders>
              <w:top w:val="single" w:sz="12" w:space="0" w:color="auto"/>
            </w:tcBorders>
          </w:tcPr>
          <w:p w:rsidR="00D03556" w:rsidRPr="00CD6F4A" w:rsidRDefault="00D03556" w:rsidP="004C3B9B">
            <w:pPr>
              <w:tabs>
                <w:tab w:val="decimal" w:pos="1062"/>
              </w:tabs>
              <w:jc w:val="both"/>
              <w:rPr>
                <w:rFonts w:ascii="Arial" w:hAnsi="Arial"/>
                <w:sz w:val="22"/>
              </w:rPr>
            </w:pPr>
          </w:p>
        </w:tc>
        <w:tc>
          <w:tcPr>
            <w:tcW w:w="1620" w:type="dxa"/>
            <w:tcBorders>
              <w:top w:val="single" w:sz="12" w:space="0" w:color="auto"/>
            </w:tcBorders>
          </w:tcPr>
          <w:p w:rsidR="00D03556" w:rsidRPr="00CD6F4A" w:rsidRDefault="00D03556" w:rsidP="0079553D">
            <w:pPr>
              <w:tabs>
                <w:tab w:val="decimal" w:pos="1062"/>
              </w:tabs>
              <w:jc w:val="both"/>
              <w:rPr>
                <w:rFonts w:ascii="Arial" w:hAnsi="Arial"/>
                <w:sz w:val="22"/>
              </w:rPr>
            </w:pPr>
          </w:p>
        </w:tc>
      </w:tr>
      <w:tr w:rsidR="00D03556" w:rsidRPr="00CD6F4A">
        <w:tc>
          <w:tcPr>
            <w:tcW w:w="4860" w:type="dxa"/>
          </w:tcPr>
          <w:p w:rsidR="00D03556" w:rsidRDefault="00D03556" w:rsidP="00646D1E">
            <w:pPr>
              <w:jc w:val="both"/>
              <w:rPr>
                <w:rFonts w:ascii="Arial" w:hAnsi="Arial"/>
                <w:b/>
                <w:sz w:val="22"/>
              </w:rPr>
            </w:pPr>
            <w:r w:rsidRPr="00CD6F4A">
              <w:rPr>
                <w:rFonts w:ascii="Arial" w:hAnsi="Arial"/>
                <w:b/>
                <w:sz w:val="22"/>
              </w:rPr>
              <w:t>Consolidated statement of comprehensive</w:t>
            </w:r>
          </w:p>
          <w:p w:rsidR="00D03556" w:rsidRPr="00CD6F4A" w:rsidRDefault="00D03556" w:rsidP="00646D1E">
            <w:pPr>
              <w:jc w:val="both"/>
              <w:rPr>
                <w:rFonts w:ascii="Arial" w:hAnsi="Arial"/>
                <w:b/>
                <w:sz w:val="22"/>
              </w:rPr>
            </w:pPr>
            <w:r w:rsidRPr="00CD6F4A">
              <w:rPr>
                <w:rFonts w:ascii="Arial" w:hAnsi="Arial"/>
                <w:b/>
                <w:sz w:val="22"/>
              </w:rPr>
              <w:t xml:space="preserve"> </w:t>
            </w:r>
            <w:r>
              <w:rPr>
                <w:rFonts w:ascii="Arial" w:hAnsi="Arial"/>
                <w:b/>
                <w:sz w:val="22"/>
              </w:rPr>
              <w:t xml:space="preserve"> </w:t>
            </w:r>
            <w:r w:rsidRPr="00CD6F4A">
              <w:rPr>
                <w:rFonts w:ascii="Arial" w:hAnsi="Arial"/>
                <w:b/>
                <w:sz w:val="22"/>
              </w:rPr>
              <w:t>income</w:t>
            </w:r>
          </w:p>
        </w:tc>
        <w:tc>
          <w:tcPr>
            <w:tcW w:w="1620" w:type="dxa"/>
          </w:tcPr>
          <w:p w:rsidR="00D03556" w:rsidRPr="00CD6F4A" w:rsidRDefault="00D03556" w:rsidP="004C3B9B">
            <w:pPr>
              <w:tabs>
                <w:tab w:val="decimal" w:pos="1062"/>
              </w:tabs>
              <w:jc w:val="both"/>
              <w:rPr>
                <w:rFonts w:ascii="Arial" w:hAnsi="Arial"/>
                <w:sz w:val="22"/>
              </w:rPr>
            </w:pPr>
          </w:p>
        </w:tc>
        <w:tc>
          <w:tcPr>
            <w:tcW w:w="1620" w:type="dxa"/>
          </w:tcPr>
          <w:p w:rsidR="00D03556" w:rsidRPr="00CD6F4A" w:rsidRDefault="00D03556" w:rsidP="0079553D">
            <w:pPr>
              <w:tabs>
                <w:tab w:val="decimal" w:pos="1062"/>
              </w:tabs>
              <w:jc w:val="both"/>
              <w:rPr>
                <w:rFonts w:ascii="Arial" w:hAnsi="Arial"/>
                <w:sz w:val="22"/>
              </w:rPr>
            </w:pPr>
          </w:p>
        </w:tc>
      </w:tr>
      <w:tr w:rsidR="00D03556" w:rsidRPr="00CD6F4A">
        <w:tc>
          <w:tcPr>
            <w:tcW w:w="4860" w:type="dxa"/>
          </w:tcPr>
          <w:p w:rsidR="00D03556" w:rsidRPr="00CD6F4A" w:rsidRDefault="00D03556" w:rsidP="00646D1E">
            <w:pPr>
              <w:jc w:val="both"/>
              <w:rPr>
                <w:rFonts w:ascii="Arial" w:hAnsi="Arial"/>
                <w:sz w:val="22"/>
              </w:rPr>
            </w:pPr>
            <w:r w:rsidRPr="00CD6F4A">
              <w:rPr>
                <w:rFonts w:ascii="Arial" w:hAnsi="Arial"/>
                <w:sz w:val="22"/>
              </w:rPr>
              <w:t>Other comprehensive income</w:t>
            </w:r>
          </w:p>
        </w:tc>
        <w:tc>
          <w:tcPr>
            <w:tcW w:w="1620" w:type="dxa"/>
          </w:tcPr>
          <w:p w:rsidR="00D03556" w:rsidRPr="00CD6F4A" w:rsidRDefault="00D03556" w:rsidP="004C3B9B">
            <w:pPr>
              <w:tabs>
                <w:tab w:val="decimal" w:pos="1062"/>
              </w:tabs>
              <w:jc w:val="both"/>
              <w:rPr>
                <w:rFonts w:ascii="Arial" w:hAnsi="Arial"/>
                <w:sz w:val="22"/>
              </w:rPr>
            </w:pPr>
            <w:r>
              <w:rPr>
                <w:rFonts w:ascii="Arial" w:hAnsi="Arial"/>
                <w:sz w:val="22"/>
              </w:rPr>
              <w:t>(89)</w:t>
            </w:r>
          </w:p>
        </w:tc>
        <w:tc>
          <w:tcPr>
            <w:tcW w:w="1620" w:type="dxa"/>
          </w:tcPr>
          <w:p w:rsidR="00D03556" w:rsidRPr="00CD6F4A" w:rsidRDefault="00D03556" w:rsidP="0079553D">
            <w:pPr>
              <w:tabs>
                <w:tab w:val="decimal" w:pos="1062"/>
              </w:tabs>
              <w:jc w:val="both"/>
              <w:rPr>
                <w:rFonts w:ascii="Arial" w:hAnsi="Arial"/>
                <w:sz w:val="22"/>
              </w:rPr>
            </w:pPr>
            <w:r>
              <w:rPr>
                <w:rFonts w:ascii="Arial" w:hAnsi="Arial"/>
                <w:sz w:val="22"/>
              </w:rPr>
              <w:t>50</w:t>
            </w:r>
          </w:p>
        </w:tc>
      </w:tr>
      <w:tr w:rsidR="00D03556" w:rsidRPr="00CD6F4A">
        <w:tc>
          <w:tcPr>
            <w:tcW w:w="4860" w:type="dxa"/>
          </w:tcPr>
          <w:p w:rsidR="00D03556" w:rsidRPr="00CD6F4A" w:rsidRDefault="00D03556" w:rsidP="00646D1E">
            <w:pPr>
              <w:jc w:val="both"/>
              <w:rPr>
                <w:rFonts w:ascii="Arial" w:hAnsi="Arial"/>
                <w:sz w:val="22"/>
              </w:rPr>
            </w:pPr>
            <w:r w:rsidRPr="00CD6F4A">
              <w:rPr>
                <w:rFonts w:ascii="Arial" w:hAnsi="Arial"/>
                <w:sz w:val="22"/>
              </w:rPr>
              <w:t>Total comprehensive income</w:t>
            </w:r>
          </w:p>
        </w:tc>
        <w:tc>
          <w:tcPr>
            <w:tcW w:w="1620" w:type="dxa"/>
            <w:tcBorders>
              <w:bottom w:val="single" w:sz="12" w:space="0" w:color="auto"/>
            </w:tcBorders>
          </w:tcPr>
          <w:p w:rsidR="00D03556" w:rsidRPr="00CD6F4A" w:rsidRDefault="00D03556" w:rsidP="004C3B9B">
            <w:pPr>
              <w:tabs>
                <w:tab w:val="decimal" w:pos="1062"/>
              </w:tabs>
              <w:jc w:val="both"/>
              <w:rPr>
                <w:rFonts w:ascii="Arial" w:hAnsi="Arial"/>
                <w:sz w:val="22"/>
              </w:rPr>
            </w:pPr>
            <w:r>
              <w:rPr>
                <w:rFonts w:ascii="Arial" w:hAnsi="Arial"/>
                <w:sz w:val="22"/>
              </w:rPr>
              <w:t>(89)</w:t>
            </w:r>
          </w:p>
        </w:tc>
        <w:tc>
          <w:tcPr>
            <w:tcW w:w="1620" w:type="dxa"/>
            <w:tcBorders>
              <w:bottom w:val="single" w:sz="12" w:space="0" w:color="auto"/>
            </w:tcBorders>
          </w:tcPr>
          <w:p w:rsidR="00D03556" w:rsidRPr="00CD6F4A" w:rsidRDefault="00D03556" w:rsidP="0079553D">
            <w:pPr>
              <w:tabs>
                <w:tab w:val="decimal" w:pos="1062"/>
              </w:tabs>
              <w:jc w:val="both"/>
              <w:rPr>
                <w:rFonts w:ascii="Arial" w:hAnsi="Arial"/>
                <w:sz w:val="22"/>
              </w:rPr>
            </w:pPr>
            <w:r>
              <w:rPr>
                <w:rFonts w:ascii="Arial" w:hAnsi="Arial"/>
                <w:sz w:val="22"/>
              </w:rPr>
              <w:t>50</w:t>
            </w:r>
          </w:p>
        </w:tc>
      </w:tr>
    </w:tbl>
    <w:p w:rsidR="004C41FA" w:rsidRPr="00CD6F4A" w:rsidRDefault="004C41FA" w:rsidP="00646D1E">
      <w:pPr>
        <w:ind w:left="720"/>
        <w:jc w:val="both"/>
        <w:rPr>
          <w:rFonts w:ascii="Arial" w:hAnsi="Arial"/>
          <w:sz w:val="22"/>
        </w:rPr>
      </w:pPr>
    </w:p>
    <w:p w:rsidR="00B40C60" w:rsidRPr="00CD6F4A" w:rsidRDefault="00B40C60" w:rsidP="00646D1E">
      <w:pPr>
        <w:ind w:left="720"/>
        <w:jc w:val="both"/>
        <w:rPr>
          <w:rFonts w:ascii="Arial" w:hAnsi="Arial"/>
          <w:sz w:val="22"/>
        </w:rPr>
      </w:pPr>
    </w:p>
    <w:p w:rsidR="00B40C60" w:rsidRPr="00CD6F4A" w:rsidRDefault="00B40C60" w:rsidP="00B40C60">
      <w:pPr>
        <w:pStyle w:val="BodyTextIndent"/>
        <w:numPr>
          <w:ilvl w:val="0"/>
          <w:numId w:val="19"/>
        </w:numPr>
        <w:tabs>
          <w:tab w:val="clear" w:pos="960"/>
        </w:tabs>
        <w:ind w:left="720" w:hanging="720"/>
        <w:rPr>
          <w:b/>
          <w:sz w:val="22"/>
        </w:rPr>
      </w:pPr>
      <w:r w:rsidRPr="00CD6F4A">
        <w:rPr>
          <w:b/>
          <w:sz w:val="22"/>
        </w:rPr>
        <w:t>Seasonal or Cyclical Factors</w:t>
      </w:r>
    </w:p>
    <w:p w:rsidR="00B40C60" w:rsidRPr="00CD6F4A" w:rsidRDefault="00B40C60" w:rsidP="00B40C60">
      <w:pPr>
        <w:tabs>
          <w:tab w:val="left" w:pos="1080"/>
        </w:tabs>
        <w:ind w:left="360"/>
        <w:jc w:val="both"/>
        <w:rPr>
          <w:rFonts w:ascii="Arial" w:hAnsi="Arial"/>
          <w:b/>
          <w:sz w:val="22"/>
        </w:rPr>
      </w:pPr>
    </w:p>
    <w:p w:rsidR="00B40C60" w:rsidRPr="00CD6F4A" w:rsidRDefault="00B40C60" w:rsidP="00B40C60">
      <w:pPr>
        <w:ind w:left="720"/>
        <w:jc w:val="both"/>
        <w:rPr>
          <w:rFonts w:ascii="Arial" w:hAnsi="Arial"/>
          <w:sz w:val="22"/>
        </w:rPr>
      </w:pPr>
      <w:r w:rsidRPr="00CD6F4A">
        <w:rPr>
          <w:rFonts w:ascii="Arial" w:hAnsi="Arial"/>
          <w:sz w:val="22"/>
        </w:rPr>
        <w:t xml:space="preserve">The Group’s plantation operations are affected by seasonal production of fresh fruit </w:t>
      </w:r>
      <w:proofErr w:type="gramStart"/>
      <w:r w:rsidRPr="00CD6F4A">
        <w:rPr>
          <w:rFonts w:ascii="Arial" w:hAnsi="Arial"/>
          <w:sz w:val="22"/>
        </w:rPr>
        <w:t>bunches,</w:t>
      </w:r>
      <w:proofErr w:type="gramEnd"/>
      <w:r w:rsidRPr="00CD6F4A">
        <w:rPr>
          <w:rFonts w:ascii="Arial" w:hAnsi="Arial"/>
          <w:sz w:val="22"/>
        </w:rPr>
        <w:t xml:space="preserve"> weather condition and fluctuating commodity prices. Generally, the production of fresh fruit bunches is relatively lower in the first half of the year.</w:t>
      </w:r>
    </w:p>
    <w:p w:rsidR="00935467" w:rsidRPr="00CD6F4A" w:rsidRDefault="00935467" w:rsidP="00646D1E">
      <w:pPr>
        <w:ind w:left="720"/>
        <w:jc w:val="both"/>
        <w:rPr>
          <w:rFonts w:ascii="Arial" w:hAnsi="Arial"/>
          <w:sz w:val="22"/>
        </w:rPr>
      </w:pPr>
    </w:p>
    <w:p w:rsidR="00935467" w:rsidRPr="00CD6F4A" w:rsidRDefault="00935467" w:rsidP="00646D1E">
      <w:pPr>
        <w:ind w:left="720"/>
        <w:jc w:val="both"/>
        <w:rPr>
          <w:rFonts w:ascii="Arial" w:hAnsi="Arial"/>
          <w:sz w:val="22"/>
        </w:rPr>
      </w:pPr>
    </w:p>
    <w:p w:rsidR="00B2531B" w:rsidRPr="00CD6F4A" w:rsidRDefault="00DF6F7F" w:rsidP="00B40C60">
      <w:pPr>
        <w:ind w:left="720"/>
        <w:jc w:val="both"/>
        <w:rPr>
          <w:rFonts w:ascii="Arial" w:hAnsi="Arial"/>
          <w:sz w:val="22"/>
        </w:rPr>
      </w:pPr>
      <w:r w:rsidRPr="00CD6F4A">
        <w:rPr>
          <w:rFonts w:ascii="Arial" w:hAnsi="Arial"/>
          <w:sz w:val="22"/>
        </w:rPr>
        <w:br w:type="page"/>
      </w:r>
    </w:p>
    <w:p w:rsidR="00B2531B" w:rsidRPr="00CD6F4A" w:rsidRDefault="00B2531B" w:rsidP="00B2531B">
      <w:pPr>
        <w:pStyle w:val="BodyTextIndent"/>
        <w:numPr>
          <w:ilvl w:val="0"/>
          <w:numId w:val="19"/>
        </w:numPr>
        <w:tabs>
          <w:tab w:val="clear" w:pos="960"/>
        </w:tabs>
        <w:ind w:left="720" w:hanging="720"/>
        <w:rPr>
          <w:b/>
          <w:sz w:val="22"/>
        </w:rPr>
      </w:pPr>
      <w:r w:rsidRPr="00CD6F4A">
        <w:rPr>
          <w:b/>
          <w:sz w:val="22"/>
        </w:rPr>
        <w:lastRenderedPageBreak/>
        <w:t>Unusual Items</w:t>
      </w:r>
    </w:p>
    <w:p w:rsidR="00B2531B" w:rsidRPr="00CD6F4A" w:rsidRDefault="00B2531B" w:rsidP="00B2531B">
      <w:pPr>
        <w:ind w:left="720"/>
        <w:jc w:val="both"/>
        <w:rPr>
          <w:rFonts w:ascii="Arial" w:hAnsi="Arial"/>
          <w:sz w:val="22"/>
        </w:rPr>
      </w:pPr>
    </w:p>
    <w:p w:rsidR="00B2531B" w:rsidRPr="00CD6F4A" w:rsidRDefault="00B2531B" w:rsidP="00B2531B">
      <w:pPr>
        <w:ind w:left="720"/>
        <w:jc w:val="both"/>
        <w:rPr>
          <w:rFonts w:ascii="Arial" w:hAnsi="Arial"/>
          <w:sz w:val="22"/>
        </w:rPr>
      </w:pPr>
      <w:r w:rsidRPr="00CD6F4A">
        <w:rPr>
          <w:rFonts w:ascii="Arial" w:hAnsi="Arial"/>
          <w:sz w:val="22"/>
        </w:rPr>
        <w:t>There was no unusual item for the current financial year to date.</w:t>
      </w:r>
    </w:p>
    <w:p w:rsidR="006045AB" w:rsidRPr="00CD6F4A" w:rsidRDefault="006045AB" w:rsidP="00B2531B">
      <w:pPr>
        <w:ind w:left="720"/>
        <w:jc w:val="both"/>
        <w:rPr>
          <w:rFonts w:ascii="Arial" w:hAnsi="Arial"/>
          <w:sz w:val="22"/>
        </w:rPr>
      </w:pPr>
    </w:p>
    <w:p w:rsidR="00B2531B" w:rsidRPr="00CD6F4A" w:rsidRDefault="00B2531B" w:rsidP="00B2531B">
      <w:pPr>
        <w:jc w:val="both"/>
        <w:rPr>
          <w:rFonts w:ascii="Arial" w:hAnsi="Arial"/>
          <w:b/>
          <w:sz w:val="22"/>
        </w:rPr>
      </w:pPr>
    </w:p>
    <w:p w:rsidR="00336F10" w:rsidRPr="00CD6F4A" w:rsidRDefault="00336F10" w:rsidP="00336F10">
      <w:pPr>
        <w:pStyle w:val="BodyTextIndent"/>
        <w:numPr>
          <w:ilvl w:val="0"/>
          <w:numId w:val="19"/>
        </w:numPr>
        <w:tabs>
          <w:tab w:val="clear" w:pos="960"/>
        </w:tabs>
        <w:ind w:left="720" w:hanging="720"/>
        <w:rPr>
          <w:b/>
          <w:sz w:val="22"/>
        </w:rPr>
      </w:pPr>
      <w:r w:rsidRPr="00CD6F4A">
        <w:rPr>
          <w:b/>
          <w:sz w:val="22"/>
        </w:rPr>
        <w:t>Change in Estimates</w:t>
      </w:r>
    </w:p>
    <w:p w:rsidR="00336F10" w:rsidRPr="00CD6F4A" w:rsidRDefault="00336F10" w:rsidP="00336F10">
      <w:pPr>
        <w:jc w:val="both"/>
        <w:rPr>
          <w:rFonts w:ascii="Arial" w:hAnsi="Arial"/>
          <w:b/>
          <w:sz w:val="22"/>
        </w:rPr>
      </w:pPr>
    </w:p>
    <w:p w:rsidR="009A23CD" w:rsidRPr="00E46EA4" w:rsidRDefault="009A23CD" w:rsidP="009A23CD">
      <w:pPr>
        <w:pStyle w:val="BodyTextIndent3"/>
      </w:pPr>
      <w:r w:rsidRPr="004D649C">
        <w:t xml:space="preserve">There was no change in estimates of amounts reported in </w:t>
      </w:r>
      <w:r>
        <w:t xml:space="preserve">prior quarter of the current financial year or change in estimates of amounts reported in </w:t>
      </w:r>
      <w:r w:rsidRPr="004D649C">
        <w:t>prior financial year that has a material effect in the current quarter.</w:t>
      </w:r>
    </w:p>
    <w:p w:rsidR="006045AB" w:rsidRPr="00CD6F4A" w:rsidRDefault="006045AB" w:rsidP="00336F10">
      <w:pPr>
        <w:jc w:val="both"/>
        <w:rPr>
          <w:rFonts w:ascii="Arial" w:hAnsi="Arial"/>
          <w:sz w:val="22"/>
        </w:rPr>
      </w:pPr>
    </w:p>
    <w:p w:rsidR="004D649C" w:rsidRPr="00CD6F4A" w:rsidRDefault="004D649C" w:rsidP="00336F10">
      <w:pPr>
        <w:jc w:val="both"/>
        <w:rPr>
          <w:rFonts w:ascii="Arial" w:hAnsi="Arial"/>
          <w:sz w:val="22"/>
        </w:rPr>
      </w:pPr>
    </w:p>
    <w:p w:rsidR="004D649C" w:rsidRPr="00CD6F4A" w:rsidRDefault="004D649C" w:rsidP="004D649C">
      <w:pPr>
        <w:pStyle w:val="BodyTextIndent"/>
        <w:numPr>
          <w:ilvl w:val="0"/>
          <w:numId w:val="19"/>
        </w:numPr>
        <w:tabs>
          <w:tab w:val="clear" w:pos="960"/>
        </w:tabs>
        <w:ind w:left="720" w:hanging="720"/>
        <w:rPr>
          <w:b/>
          <w:sz w:val="22"/>
        </w:rPr>
      </w:pPr>
      <w:r w:rsidRPr="00CD6F4A">
        <w:rPr>
          <w:b/>
          <w:sz w:val="22"/>
        </w:rPr>
        <w:t>Changes in Debt and Equity Securities</w:t>
      </w:r>
    </w:p>
    <w:p w:rsidR="004D649C" w:rsidRPr="00CD6F4A" w:rsidRDefault="004D649C" w:rsidP="004D649C">
      <w:pPr>
        <w:ind w:left="360"/>
        <w:jc w:val="both"/>
        <w:rPr>
          <w:rFonts w:ascii="Arial" w:hAnsi="Arial"/>
          <w:b/>
          <w:sz w:val="22"/>
        </w:rPr>
      </w:pPr>
    </w:p>
    <w:p w:rsidR="009B058F" w:rsidRPr="00CD6F4A" w:rsidRDefault="004D649C" w:rsidP="004D649C">
      <w:pPr>
        <w:ind w:left="720"/>
        <w:jc w:val="both"/>
        <w:rPr>
          <w:rFonts w:ascii="Arial" w:hAnsi="Arial"/>
          <w:sz w:val="22"/>
        </w:rPr>
      </w:pPr>
      <w:r w:rsidRPr="00CD6F4A">
        <w:rPr>
          <w:rFonts w:ascii="Arial" w:hAnsi="Arial" w:cs="Arial"/>
          <w:sz w:val="22"/>
          <w:szCs w:val="22"/>
        </w:rPr>
        <w:t xml:space="preserve">There has been no issuance, repurchase and repayment of debt and equity securities during </w:t>
      </w:r>
      <w:r w:rsidRPr="00CD6F4A">
        <w:rPr>
          <w:rFonts w:ascii="Arial" w:hAnsi="Arial"/>
          <w:sz w:val="22"/>
        </w:rPr>
        <w:t xml:space="preserve">the current financial year to date other than the </w:t>
      </w:r>
      <w:r w:rsidR="009B058F" w:rsidRPr="00CD6F4A">
        <w:rPr>
          <w:rFonts w:ascii="Arial" w:hAnsi="Arial"/>
          <w:sz w:val="22"/>
        </w:rPr>
        <w:t>following:-</w:t>
      </w:r>
    </w:p>
    <w:p w:rsidR="009B058F" w:rsidRPr="00CD6F4A" w:rsidRDefault="009B058F" w:rsidP="004D649C">
      <w:pPr>
        <w:ind w:left="720"/>
        <w:jc w:val="both"/>
        <w:rPr>
          <w:rFonts w:ascii="Arial" w:hAnsi="Arial"/>
          <w:sz w:val="22"/>
        </w:rPr>
      </w:pPr>
    </w:p>
    <w:p w:rsidR="004D649C" w:rsidRPr="00CD6F4A" w:rsidRDefault="006E3ECC" w:rsidP="006045AB">
      <w:pPr>
        <w:numPr>
          <w:ilvl w:val="1"/>
          <w:numId w:val="19"/>
        </w:numPr>
        <w:tabs>
          <w:tab w:val="clear" w:pos="1800"/>
          <w:tab w:val="num" w:pos="1440"/>
        </w:tabs>
        <w:ind w:left="1440"/>
        <w:jc w:val="both"/>
        <w:rPr>
          <w:rFonts w:ascii="Arial" w:hAnsi="Arial" w:cs="Arial"/>
          <w:sz w:val="22"/>
          <w:szCs w:val="22"/>
        </w:rPr>
      </w:pPr>
      <w:r w:rsidRPr="00CD6F4A">
        <w:rPr>
          <w:rFonts w:ascii="Arial" w:hAnsi="Arial" w:cs="Arial"/>
          <w:sz w:val="22"/>
          <w:szCs w:val="22"/>
        </w:rPr>
        <w:t xml:space="preserve">the Group redeemed RM50 million of </w:t>
      </w:r>
      <w:proofErr w:type="spellStart"/>
      <w:r w:rsidRPr="00CD6F4A">
        <w:rPr>
          <w:rFonts w:ascii="Arial" w:hAnsi="Arial" w:cs="Arial"/>
          <w:sz w:val="22"/>
          <w:szCs w:val="22"/>
        </w:rPr>
        <w:t>Murabahah</w:t>
      </w:r>
      <w:proofErr w:type="spellEnd"/>
      <w:r w:rsidRPr="00CD6F4A">
        <w:rPr>
          <w:rFonts w:ascii="Arial" w:hAnsi="Arial" w:cs="Arial"/>
          <w:sz w:val="22"/>
          <w:szCs w:val="22"/>
        </w:rPr>
        <w:t xml:space="preserve"> Commercial Papers on 1</w:t>
      </w:r>
      <w:r w:rsidR="00CA78C2" w:rsidRPr="00CD6F4A">
        <w:rPr>
          <w:rFonts w:ascii="Arial" w:hAnsi="Arial" w:cs="Arial"/>
          <w:sz w:val="22"/>
          <w:szCs w:val="22"/>
        </w:rPr>
        <w:t>5</w:t>
      </w:r>
      <w:r w:rsidRPr="00CD6F4A">
        <w:rPr>
          <w:rFonts w:ascii="Arial" w:hAnsi="Arial" w:cs="Arial"/>
          <w:sz w:val="22"/>
          <w:szCs w:val="22"/>
        </w:rPr>
        <w:t xml:space="preserve"> January 2010; </w:t>
      </w:r>
      <w:r w:rsidR="009324E0" w:rsidRPr="00CD6F4A">
        <w:rPr>
          <w:rFonts w:ascii="Arial" w:hAnsi="Arial" w:cs="Arial"/>
          <w:sz w:val="22"/>
          <w:szCs w:val="22"/>
        </w:rPr>
        <w:t>and</w:t>
      </w:r>
    </w:p>
    <w:p w:rsidR="009B058F" w:rsidRPr="00CD6F4A" w:rsidRDefault="009B058F" w:rsidP="009B058F">
      <w:pPr>
        <w:jc w:val="both"/>
        <w:rPr>
          <w:rFonts w:ascii="Arial" w:hAnsi="Arial" w:cs="Arial"/>
          <w:sz w:val="22"/>
          <w:szCs w:val="22"/>
        </w:rPr>
      </w:pPr>
    </w:p>
    <w:p w:rsidR="009324E0" w:rsidRPr="00CD6F4A" w:rsidRDefault="006E3ECC" w:rsidP="006E3ECC">
      <w:pPr>
        <w:numPr>
          <w:ilvl w:val="1"/>
          <w:numId w:val="19"/>
        </w:numPr>
        <w:tabs>
          <w:tab w:val="clear" w:pos="1800"/>
          <w:tab w:val="num" w:pos="1440"/>
        </w:tabs>
        <w:ind w:left="1440"/>
        <w:jc w:val="both"/>
        <w:rPr>
          <w:rFonts w:ascii="Arial" w:hAnsi="Arial" w:cs="Arial"/>
          <w:sz w:val="22"/>
          <w:szCs w:val="22"/>
        </w:rPr>
      </w:pPr>
      <w:r w:rsidRPr="00CD6F4A">
        <w:rPr>
          <w:rFonts w:ascii="Arial" w:hAnsi="Arial"/>
          <w:sz w:val="22"/>
        </w:rPr>
        <w:t xml:space="preserve">the Group raised RM50 million </w:t>
      </w:r>
      <w:r w:rsidR="009324E0" w:rsidRPr="00CD6F4A">
        <w:rPr>
          <w:rFonts w:ascii="Arial" w:hAnsi="Arial"/>
          <w:sz w:val="22"/>
        </w:rPr>
        <w:t xml:space="preserve">each </w:t>
      </w:r>
      <w:r w:rsidRPr="00CD6F4A">
        <w:rPr>
          <w:rFonts w:ascii="Arial" w:hAnsi="Arial"/>
          <w:sz w:val="22"/>
        </w:rPr>
        <w:t xml:space="preserve">from the issuance of </w:t>
      </w:r>
      <w:proofErr w:type="spellStart"/>
      <w:r w:rsidRPr="00CD6F4A">
        <w:rPr>
          <w:rFonts w:ascii="Arial" w:hAnsi="Arial" w:cs="Arial"/>
          <w:sz w:val="22"/>
          <w:szCs w:val="22"/>
        </w:rPr>
        <w:t>Murabahah</w:t>
      </w:r>
      <w:proofErr w:type="spellEnd"/>
      <w:r w:rsidRPr="00CD6F4A">
        <w:rPr>
          <w:rFonts w:ascii="Arial" w:hAnsi="Arial" w:cs="Arial"/>
          <w:sz w:val="22"/>
          <w:szCs w:val="22"/>
        </w:rPr>
        <w:t xml:space="preserve"> Medium Term Notes on 15 January 2010 and 11 February 2010 </w:t>
      </w:r>
      <w:r w:rsidR="009324E0" w:rsidRPr="00CD6F4A">
        <w:rPr>
          <w:rFonts w:ascii="Arial" w:hAnsi="Arial" w:cs="Arial"/>
          <w:sz w:val="22"/>
          <w:szCs w:val="22"/>
        </w:rPr>
        <w:t xml:space="preserve">and RM25 million from the issuance of </w:t>
      </w:r>
      <w:proofErr w:type="spellStart"/>
      <w:r w:rsidR="009324E0" w:rsidRPr="00CD6F4A">
        <w:rPr>
          <w:rFonts w:ascii="Arial" w:hAnsi="Arial" w:cs="Arial"/>
          <w:sz w:val="22"/>
          <w:szCs w:val="22"/>
        </w:rPr>
        <w:t>Murabahah</w:t>
      </w:r>
      <w:proofErr w:type="spellEnd"/>
      <w:r w:rsidR="009324E0" w:rsidRPr="00CD6F4A">
        <w:rPr>
          <w:rFonts w:ascii="Arial" w:hAnsi="Arial" w:cs="Arial"/>
          <w:sz w:val="22"/>
          <w:szCs w:val="22"/>
        </w:rPr>
        <w:t xml:space="preserve"> Commercial Papers on 11 February 2010 </w:t>
      </w:r>
      <w:r w:rsidRPr="00CD6F4A">
        <w:rPr>
          <w:rFonts w:ascii="Arial" w:hAnsi="Arial" w:cs="Arial"/>
          <w:sz w:val="22"/>
          <w:szCs w:val="22"/>
        </w:rPr>
        <w:t>to part-finance the development of the Group’s plantations and the Grou</w:t>
      </w:r>
      <w:r w:rsidR="009324E0" w:rsidRPr="00CD6F4A">
        <w:rPr>
          <w:rFonts w:ascii="Arial" w:hAnsi="Arial" w:cs="Arial"/>
          <w:sz w:val="22"/>
          <w:szCs w:val="22"/>
        </w:rPr>
        <w:t>p’s working capital requirement.</w:t>
      </w:r>
    </w:p>
    <w:p w:rsidR="009B058F" w:rsidRPr="00CD6F4A" w:rsidRDefault="009B058F" w:rsidP="00B10ED0">
      <w:pPr>
        <w:jc w:val="both"/>
        <w:rPr>
          <w:rFonts w:ascii="Arial" w:hAnsi="Arial"/>
          <w:sz w:val="22"/>
        </w:rPr>
      </w:pPr>
    </w:p>
    <w:p w:rsidR="004D649C" w:rsidRPr="00CD6F4A" w:rsidRDefault="004D649C" w:rsidP="004D649C">
      <w:pPr>
        <w:ind w:left="360"/>
        <w:jc w:val="both"/>
        <w:rPr>
          <w:rFonts w:ascii="Arial" w:hAnsi="Arial"/>
          <w:b/>
          <w:sz w:val="22"/>
        </w:rPr>
      </w:pPr>
    </w:p>
    <w:p w:rsidR="00C1078A" w:rsidRPr="00CD6F4A" w:rsidRDefault="00C1078A" w:rsidP="00C1078A">
      <w:pPr>
        <w:pStyle w:val="BodyTextIndent"/>
        <w:numPr>
          <w:ilvl w:val="0"/>
          <w:numId w:val="19"/>
        </w:numPr>
        <w:tabs>
          <w:tab w:val="clear" w:pos="960"/>
        </w:tabs>
        <w:ind w:left="720" w:hanging="720"/>
        <w:rPr>
          <w:b/>
          <w:sz w:val="22"/>
        </w:rPr>
      </w:pPr>
      <w:r w:rsidRPr="00CD6F4A">
        <w:rPr>
          <w:b/>
          <w:sz w:val="22"/>
        </w:rPr>
        <w:t>Dividends Paid</w:t>
      </w:r>
    </w:p>
    <w:p w:rsidR="00C1078A" w:rsidRPr="00CD6F4A" w:rsidRDefault="00C1078A" w:rsidP="00C1078A">
      <w:pPr>
        <w:ind w:left="360"/>
        <w:jc w:val="both"/>
        <w:rPr>
          <w:rFonts w:ascii="Arial" w:hAnsi="Arial"/>
          <w:b/>
          <w:sz w:val="22"/>
        </w:rPr>
      </w:pPr>
    </w:p>
    <w:p w:rsidR="00C1078A" w:rsidRPr="00CD6F4A" w:rsidRDefault="00C1078A" w:rsidP="00C1078A">
      <w:pPr>
        <w:ind w:firstLine="720"/>
        <w:jc w:val="both"/>
        <w:rPr>
          <w:rFonts w:ascii="Arial" w:hAnsi="Arial"/>
          <w:sz w:val="22"/>
        </w:rPr>
      </w:pPr>
      <w:r w:rsidRPr="00CD6F4A">
        <w:rPr>
          <w:rFonts w:ascii="Arial" w:hAnsi="Arial"/>
          <w:sz w:val="22"/>
        </w:rPr>
        <w:t>There was no dividend paid during the current financial year to date.</w:t>
      </w:r>
    </w:p>
    <w:p w:rsidR="00C1078A" w:rsidRPr="00CD6F4A" w:rsidRDefault="00C1078A" w:rsidP="00C1078A">
      <w:pPr>
        <w:jc w:val="both"/>
        <w:rPr>
          <w:rFonts w:ascii="Arial" w:hAnsi="Arial"/>
          <w:sz w:val="22"/>
        </w:rPr>
      </w:pPr>
    </w:p>
    <w:p w:rsidR="00C1078A" w:rsidRPr="00CD6F4A" w:rsidRDefault="00C1078A" w:rsidP="00C1078A">
      <w:pPr>
        <w:jc w:val="both"/>
        <w:rPr>
          <w:rFonts w:ascii="Arial" w:hAnsi="Arial"/>
          <w:sz w:val="22"/>
        </w:rPr>
      </w:pPr>
    </w:p>
    <w:p w:rsidR="00C1078A" w:rsidRPr="00CD6F4A" w:rsidRDefault="00C1078A" w:rsidP="00C1078A">
      <w:pPr>
        <w:pStyle w:val="BodyTextIndent"/>
        <w:numPr>
          <w:ilvl w:val="0"/>
          <w:numId w:val="19"/>
        </w:numPr>
        <w:tabs>
          <w:tab w:val="clear" w:pos="960"/>
        </w:tabs>
        <w:ind w:left="720" w:hanging="720"/>
        <w:rPr>
          <w:b/>
          <w:sz w:val="22"/>
        </w:rPr>
      </w:pPr>
      <w:r w:rsidRPr="00CD6F4A">
        <w:rPr>
          <w:b/>
          <w:sz w:val="22"/>
        </w:rPr>
        <w:t>Segmental Reporting</w:t>
      </w:r>
    </w:p>
    <w:p w:rsidR="00C1078A" w:rsidRPr="00CD6F4A" w:rsidRDefault="00C1078A" w:rsidP="00C1078A">
      <w:pPr>
        <w:ind w:left="360"/>
        <w:jc w:val="both"/>
        <w:rPr>
          <w:rFonts w:ascii="Arial" w:hAnsi="Arial"/>
          <w:b/>
          <w:sz w:val="22"/>
        </w:rPr>
      </w:pPr>
    </w:p>
    <w:p w:rsidR="00C1078A" w:rsidRPr="00CD6F4A" w:rsidRDefault="00C1078A" w:rsidP="00C1078A">
      <w:pPr>
        <w:ind w:left="720"/>
        <w:jc w:val="both"/>
        <w:rPr>
          <w:rFonts w:ascii="Arial" w:hAnsi="Arial"/>
          <w:b/>
          <w:sz w:val="22"/>
        </w:rPr>
      </w:pPr>
      <w:r w:rsidRPr="00CD6F4A">
        <w:rPr>
          <w:rFonts w:ascii="Arial" w:hAnsi="Arial"/>
          <w:sz w:val="22"/>
        </w:rPr>
        <w:t>No segmental information has been prepared as the Group’s principal activities in the current financial year to date involve predominantly the cultivation of oil palm and rubber trees, processing and sales of fresh fruit bunches and sales of crude palm oil and palm kernel which are wholly carried out in Malaysia</w:t>
      </w:r>
      <w:r w:rsidRPr="00CD6F4A">
        <w:rPr>
          <w:rFonts w:ascii="Arial" w:hAnsi="Arial"/>
          <w:b/>
          <w:sz w:val="22"/>
        </w:rPr>
        <w:t>.</w:t>
      </w:r>
    </w:p>
    <w:p w:rsidR="00DF6F7F" w:rsidRPr="00CD6F4A" w:rsidRDefault="00DF6F7F" w:rsidP="00695B41">
      <w:pPr>
        <w:ind w:left="720"/>
        <w:jc w:val="both"/>
        <w:rPr>
          <w:rFonts w:ascii="Arial" w:hAnsi="Arial"/>
          <w:sz w:val="22"/>
        </w:rPr>
      </w:pPr>
    </w:p>
    <w:p w:rsidR="00DF6F7F" w:rsidRPr="00CD6F4A" w:rsidRDefault="00DF6F7F" w:rsidP="00695B41">
      <w:pPr>
        <w:ind w:left="720"/>
        <w:jc w:val="both"/>
        <w:rPr>
          <w:rFonts w:ascii="Arial" w:hAnsi="Arial"/>
          <w:sz w:val="22"/>
        </w:rPr>
      </w:pPr>
    </w:p>
    <w:p w:rsidR="00DF6F7F" w:rsidRPr="00CD6F4A" w:rsidRDefault="00DF6F7F" w:rsidP="00DF6F7F">
      <w:pPr>
        <w:pStyle w:val="BodyTextIndent"/>
        <w:numPr>
          <w:ilvl w:val="0"/>
          <w:numId w:val="19"/>
        </w:numPr>
        <w:tabs>
          <w:tab w:val="clear" w:pos="960"/>
        </w:tabs>
        <w:ind w:left="720" w:hanging="720"/>
        <w:rPr>
          <w:b/>
          <w:sz w:val="22"/>
        </w:rPr>
      </w:pPr>
      <w:r w:rsidRPr="00CD6F4A">
        <w:rPr>
          <w:b/>
          <w:sz w:val="22"/>
        </w:rPr>
        <w:t>Material Subsequent Event</w:t>
      </w:r>
    </w:p>
    <w:p w:rsidR="00DF6F7F" w:rsidRPr="00CD6F4A" w:rsidRDefault="00DF6F7F" w:rsidP="00DF6F7F">
      <w:pPr>
        <w:pStyle w:val="BodyText"/>
        <w:ind w:left="1440" w:hanging="720"/>
        <w:rPr>
          <w:rFonts w:cs="Arial"/>
          <w:sz w:val="22"/>
          <w:szCs w:val="22"/>
        </w:rPr>
      </w:pPr>
    </w:p>
    <w:p w:rsidR="00D20A26" w:rsidRDefault="00D20A26" w:rsidP="003D3C51">
      <w:pPr>
        <w:tabs>
          <w:tab w:val="left" w:pos="720"/>
        </w:tabs>
        <w:ind w:left="720"/>
        <w:jc w:val="both"/>
        <w:rPr>
          <w:rFonts w:ascii="Arial" w:hAnsi="Arial"/>
          <w:sz w:val="22"/>
        </w:rPr>
      </w:pPr>
      <w:r>
        <w:rPr>
          <w:rFonts w:ascii="Arial" w:hAnsi="Arial"/>
          <w:sz w:val="22"/>
        </w:rPr>
        <w:t>On 9 August 2010, the Company received two separate striking-off notices</w:t>
      </w:r>
      <w:r w:rsidR="003D3C51">
        <w:rPr>
          <w:rFonts w:ascii="Arial" w:hAnsi="Arial"/>
          <w:sz w:val="22"/>
        </w:rPr>
        <w:t>, both dated 27 July 2010,</w:t>
      </w:r>
      <w:r>
        <w:rPr>
          <w:rFonts w:ascii="Arial" w:hAnsi="Arial"/>
          <w:sz w:val="22"/>
        </w:rPr>
        <w:t xml:space="preserve"> from the Companies Commission of Malaysia </w:t>
      </w:r>
      <w:r w:rsidR="003D3C51">
        <w:rPr>
          <w:rFonts w:ascii="Arial" w:hAnsi="Arial"/>
          <w:sz w:val="22"/>
        </w:rPr>
        <w:t xml:space="preserve">(“CCM”) pursuant to the Company’s application for the striking-off of two dormant subsidiaries, namely </w:t>
      </w:r>
      <w:proofErr w:type="spellStart"/>
      <w:r w:rsidR="003D3C51">
        <w:rPr>
          <w:rFonts w:ascii="Arial" w:hAnsi="Arial"/>
          <w:sz w:val="22"/>
        </w:rPr>
        <w:t>Gugusan</w:t>
      </w:r>
      <w:proofErr w:type="spellEnd"/>
      <w:r w:rsidR="003D3C51">
        <w:rPr>
          <w:rFonts w:ascii="Arial" w:hAnsi="Arial"/>
          <w:sz w:val="22"/>
        </w:rPr>
        <w:t xml:space="preserve"> </w:t>
      </w:r>
      <w:proofErr w:type="spellStart"/>
      <w:r w:rsidR="003D3C51">
        <w:rPr>
          <w:rFonts w:ascii="Arial" w:hAnsi="Arial"/>
          <w:sz w:val="22"/>
        </w:rPr>
        <w:t>Induk</w:t>
      </w:r>
      <w:proofErr w:type="spellEnd"/>
      <w:r w:rsidR="003D3C51">
        <w:rPr>
          <w:rFonts w:ascii="Arial" w:hAnsi="Arial"/>
          <w:sz w:val="22"/>
        </w:rPr>
        <w:t xml:space="preserve"> </w:t>
      </w:r>
      <w:proofErr w:type="spellStart"/>
      <w:r w:rsidR="003D3C51">
        <w:rPr>
          <w:rFonts w:ascii="Arial" w:hAnsi="Arial"/>
          <w:sz w:val="22"/>
        </w:rPr>
        <w:t>Sdn</w:t>
      </w:r>
      <w:proofErr w:type="spellEnd"/>
      <w:r w:rsidR="003D3C51">
        <w:rPr>
          <w:rFonts w:ascii="Arial" w:hAnsi="Arial"/>
          <w:sz w:val="22"/>
        </w:rPr>
        <w:t xml:space="preserve"> </w:t>
      </w:r>
      <w:proofErr w:type="spellStart"/>
      <w:r w:rsidR="003D3C51">
        <w:rPr>
          <w:rFonts w:ascii="Arial" w:hAnsi="Arial"/>
          <w:sz w:val="22"/>
        </w:rPr>
        <w:t>Bhd</w:t>
      </w:r>
      <w:proofErr w:type="spellEnd"/>
      <w:r w:rsidR="003D3C51">
        <w:rPr>
          <w:rFonts w:ascii="Arial" w:hAnsi="Arial"/>
          <w:sz w:val="22"/>
        </w:rPr>
        <w:t xml:space="preserve"> (“GISB”) and JTOP </w:t>
      </w:r>
      <w:proofErr w:type="spellStart"/>
      <w:r w:rsidR="003D3C51">
        <w:rPr>
          <w:rFonts w:ascii="Arial" w:hAnsi="Arial"/>
          <w:sz w:val="22"/>
        </w:rPr>
        <w:t>Lebir</w:t>
      </w:r>
      <w:proofErr w:type="spellEnd"/>
      <w:r w:rsidR="003D3C51">
        <w:rPr>
          <w:rFonts w:ascii="Arial" w:hAnsi="Arial"/>
          <w:sz w:val="22"/>
        </w:rPr>
        <w:t xml:space="preserve"> Plantation </w:t>
      </w:r>
      <w:proofErr w:type="spellStart"/>
      <w:r w:rsidR="003D3C51">
        <w:rPr>
          <w:rFonts w:ascii="Arial" w:hAnsi="Arial"/>
          <w:sz w:val="22"/>
        </w:rPr>
        <w:t>Sdn</w:t>
      </w:r>
      <w:proofErr w:type="spellEnd"/>
      <w:r w:rsidR="003D3C51">
        <w:rPr>
          <w:rFonts w:ascii="Arial" w:hAnsi="Arial"/>
          <w:sz w:val="22"/>
        </w:rPr>
        <w:t xml:space="preserve"> </w:t>
      </w:r>
      <w:proofErr w:type="spellStart"/>
      <w:r w:rsidR="003D3C51">
        <w:rPr>
          <w:rFonts w:ascii="Arial" w:hAnsi="Arial"/>
          <w:sz w:val="22"/>
        </w:rPr>
        <w:t>Bhd</w:t>
      </w:r>
      <w:proofErr w:type="spellEnd"/>
      <w:r w:rsidR="003D3C51">
        <w:rPr>
          <w:rFonts w:ascii="Arial" w:hAnsi="Arial"/>
          <w:sz w:val="22"/>
        </w:rPr>
        <w:t xml:space="preserve"> (“JTOP </w:t>
      </w:r>
      <w:proofErr w:type="spellStart"/>
      <w:r w:rsidR="003D3C51">
        <w:rPr>
          <w:rFonts w:ascii="Arial" w:hAnsi="Arial"/>
          <w:sz w:val="22"/>
        </w:rPr>
        <w:t>Lebir</w:t>
      </w:r>
      <w:proofErr w:type="spellEnd"/>
      <w:r w:rsidR="003D3C51">
        <w:rPr>
          <w:rFonts w:ascii="Arial" w:hAnsi="Arial"/>
          <w:sz w:val="22"/>
        </w:rPr>
        <w:t>”), under Section 308 of the Compan</w:t>
      </w:r>
      <w:r w:rsidR="00D23BF3">
        <w:rPr>
          <w:rFonts w:ascii="Arial" w:hAnsi="Arial"/>
          <w:sz w:val="22"/>
        </w:rPr>
        <w:t>ies</w:t>
      </w:r>
      <w:r w:rsidR="003D3C51">
        <w:rPr>
          <w:rFonts w:ascii="Arial" w:hAnsi="Arial"/>
          <w:sz w:val="22"/>
        </w:rPr>
        <w:t xml:space="preserve"> Act, 1965. Accordingly, GISB and JTOP </w:t>
      </w:r>
      <w:proofErr w:type="spellStart"/>
      <w:r w:rsidR="003D3C51">
        <w:rPr>
          <w:rFonts w:ascii="Arial" w:hAnsi="Arial"/>
          <w:sz w:val="22"/>
        </w:rPr>
        <w:t>Lebir’s</w:t>
      </w:r>
      <w:proofErr w:type="spellEnd"/>
      <w:r w:rsidR="003D3C51">
        <w:rPr>
          <w:rFonts w:ascii="Arial" w:hAnsi="Arial"/>
          <w:sz w:val="22"/>
        </w:rPr>
        <w:t xml:space="preserve"> name will be struck-off from CCM’s register within one month from the date of the notices.</w:t>
      </w:r>
    </w:p>
    <w:p w:rsidR="00D20A26" w:rsidRDefault="00D20A26" w:rsidP="00DF6F7F">
      <w:pPr>
        <w:tabs>
          <w:tab w:val="left" w:pos="720"/>
        </w:tabs>
        <w:rPr>
          <w:rFonts w:ascii="Arial" w:hAnsi="Arial"/>
          <w:sz w:val="22"/>
        </w:rPr>
      </w:pPr>
    </w:p>
    <w:p w:rsidR="00DF6F7F" w:rsidRPr="00CD6F4A" w:rsidRDefault="003D3C51" w:rsidP="003D3C51">
      <w:pPr>
        <w:tabs>
          <w:tab w:val="left" w:pos="720"/>
        </w:tabs>
        <w:ind w:left="720"/>
        <w:jc w:val="both"/>
        <w:rPr>
          <w:rFonts w:ascii="Arial" w:hAnsi="Arial" w:cs="Arial"/>
          <w:sz w:val="22"/>
          <w:szCs w:val="22"/>
          <w:lang w:eastAsia="zh-CN"/>
        </w:rPr>
      </w:pPr>
      <w:r>
        <w:rPr>
          <w:rFonts w:ascii="Arial" w:hAnsi="Arial"/>
          <w:sz w:val="22"/>
        </w:rPr>
        <w:t>Other than the above, t</w:t>
      </w:r>
      <w:r w:rsidR="00DF6F7F" w:rsidRPr="00CD6F4A">
        <w:rPr>
          <w:rFonts w:ascii="Arial" w:hAnsi="Arial"/>
          <w:sz w:val="22"/>
        </w:rPr>
        <w:t>here was no material event subsequent to the end of the current quarter.</w:t>
      </w:r>
      <w:r w:rsidR="00DF6F7F" w:rsidRPr="00CD6F4A">
        <w:rPr>
          <w:rFonts w:ascii="Arial" w:hAnsi="Arial" w:cs="Arial"/>
          <w:sz w:val="22"/>
          <w:szCs w:val="22"/>
          <w:lang w:eastAsia="zh-CN"/>
        </w:rPr>
        <w:t xml:space="preserve"> </w:t>
      </w:r>
    </w:p>
    <w:p w:rsidR="00B40C60" w:rsidRPr="00CD6F4A" w:rsidRDefault="00B40C60" w:rsidP="005853A6">
      <w:pPr>
        <w:ind w:left="720"/>
        <w:jc w:val="both"/>
        <w:rPr>
          <w:rFonts w:ascii="Arial" w:hAnsi="Arial"/>
          <w:sz w:val="22"/>
        </w:rPr>
      </w:pPr>
    </w:p>
    <w:p w:rsidR="00B40C60" w:rsidRPr="00CD6F4A" w:rsidRDefault="006414D9" w:rsidP="005853A6">
      <w:pPr>
        <w:ind w:left="720"/>
        <w:jc w:val="both"/>
        <w:rPr>
          <w:rFonts w:ascii="Arial" w:hAnsi="Arial"/>
          <w:sz w:val="22"/>
        </w:rPr>
      </w:pPr>
      <w:r>
        <w:rPr>
          <w:rFonts w:ascii="Arial" w:hAnsi="Arial"/>
          <w:sz w:val="22"/>
        </w:rPr>
        <w:br w:type="page"/>
      </w:r>
    </w:p>
    <w:p w:rsidR="00B40C60" w:rsidRPr="00CD6F4A" w:rsidRDefault="00B40C60" w:rsidP="00B40C60">
      <w:pPr>
        <w:pStyle w:val="BodyTextIndent"/>
        <w:numPr>
          <w:ilvl w:val="0"/>
          <w:numId w:val="19"/>
        </w:numPr>
        <w:tabs>
          <w:tab w:val="clear" w:pos="960"/>
        </w:tabs>
        <w:ind w:left="720" w:hanging="720"/>
        <w:rPr>
          <w:b/>
          <w:sz w:val="22"/>
        </w:rPr>
      </w:pPr>
      <w:r w:rsidRPr="00CD6F4A">
        <w:rPr>
          <w:b/>
          <w:sz w:val="22"/>
        </w:rPr>
        <w:lastRenderedPageBreak/>
        <w:t>Changes in the Composition of the Group</w:t>
      </w:r>
    </w:p>
    <w:p w:rsidR="00B40C60" w:rsidRPr="00CD6F4A" w:rsidRDefault="00B40C60" w:rsidP="00B40C60">
      <w:pPr>
        <w:tabs>
          <w:tab w:val="left" w:pos="1080"/>
        </w:tabs>
        <w:jc w:val="both"/>
        <w:rPr>
          <w:rFonts w:ascii="Arial" w:hAnsi="Arial"/>
          <w:b/>
          <w:sz w:val="22"/>
        </w:rPr>
      </w:pPr>
    </w:p>
    <w:p w:rsidR="004D7AB3" w:rsidRDefault="00890603" w:rsidP="00890603">
      <w:pPr>
        <w:ind w:left="720"/>
        <w:jc w:val="both"/>
        <w:rPr>
          <w:rFonts w:ascii="Arial" w:hAnsi="Arial"/>
          <w:sz w:val="22"/>
        </w:rPr>
      </w:pPr>
      <w:r w:rsidRPr="00E46EA4">
        <w:rPr>
          <w:rFonts w:ascii="Arial" w:hAnsi="Arial"/>
          <w:sz w:val="22"/>
        </w:rPr>
        <w:t>There was no change in the composition of the Group during the current financial year</w:t>
      </w:r>
      <w:r w:rsidR="00AB0210">
        <w:rPr>
          <w:rFonts w:ascii="Arial" w:hAnsi="Arial"/>
          <w:sz w:val="22"/>
        </w:rPr>
        <w:t xml:space="preserve"> to date</w:t>
      </w:r>
      <w:r w:rsidRPr="00E46EA4">
        <w:rPr>
          <w:rFonts w:ascii="Arial" w:hAnsi="Arial"/>
          <w:sz w:val="22"/>
        </w:rPr>
        <w:t xml:space="preserve"> other than </w:t>
      </w:r>
      <w:r w:rsidR="004D7AB3">
        <w:rPr>
          <w:rFonts w:ascii="Arial" w:hAnsi="Arial"/>
          <w:sz w:val="22"/>
        </w:rPr>
        <w:t xml:space="preserve">the acquisition of the remaining 60% equity interest in </w:t>
      </w:r>
      <w:proofErr w:type="spellStart"/>
      <w:r w:rsidR="004D7AB3">
        <w:rPr>
          <w:rFonts w:ascii="Arial" w:hAnsi="Arial"/>
          <w:sz w:val="22"/>
        </w:rPr>
        <w:t>Hak</w:t>
      </w:r>
      <w:proofErr w:type="spellEnd"/>
      <w:r w:rsidR="004D7AB3">
        <w:rPr>
          <w:rFonts w:ascii="Arial" w:hAnsi="Arial"/>
          <w:sz w:val="22"/>
        </w:rPr>
        <w:t xml:space="preserve"> JTOP </w:t>
      </w:r>
      <w:proofErr w:type="spellStart"/>
      <w:r w:rsidR="004D7AB3">
        <w:rPr>
          <w:rFonts w:ascii="Arial" w:hAnsi="Arial"/>
          <w:sz w:val="22"/>
        </w:rPr>
        <w:t>Sdn</w:t>
      </w:r>
      <w:proofErr w:type="spellEnd"/>
      <w:r w:rsidR="004D7AB3">
        <w:rPr>
          <w:rFonts w:ascii="Arial" w:hAnsi="Arial"/>
          <w:sz w:val="22"/>
        </w:rPr>
        <w:t xml:space="preserve"> </w:t>
      </w:r>
      <w:proofErr w:type="spellStart"/>
      <w:r w:rsidR="004D7AB3">
        <w:rPr>
          <w:rFonts w:ascii="Arial" w:hAnsi="Arial"/>
          <w:sz w:val="22"/>
        </w:rPr>
        <w:t>Bhd</w:t>
      </w:r>
      <w:proofErr w:type="spellEnd"/>
      <w:r w:rsidR="004D7AB3">
        <w:rPr>
          <w:rFonts w:ascii="Arial" w:hAnsi="Arial"/>
          <w:sz w:val="22"/>
        </w:rPr>
        <w:t xml:space="preserve"> (“</w:t>
      </w:r>
      <w:proofErr w:type="spellStart"/>
      <w:r w:rsidR="004D7AB3">
        <w:rPr>
          <w:rFonts w:ascii="Arial" w:hAnsi="Arial"/>
          <w:sz w:val="22"/>
        </w:rPr>
        <w:t>Hak</w:t>
      </w:r>
      <w:proofErr w:type="spellEnd"/>
      <w:r w:rsidR="004D7AB3">
        <w:rPr>
          <w:rFonts w:ascii="Arial" w:hAnsi="Arial"/>
          <w:sz w:val="22"/>
        </w:rPr>
        <w:t xml:space="preserve"> JTOP”) by the Company</w:t>
      </w:r>
      <w:r w:rsidR="00AB0210">
        <w:rPr>
          <w:rFonts w:ascii="Arial" w:hAnsi="Arial"/>
          <w:sz w:val="22"/>
        </w:rPr>
        <w:t>’s</w:t>
      </w:r>
      <w:r w:rsidR="004D7AB3">
        <w:rPr>
          <w:rFonts w:ascii="Arial" w:hAnsi="Arial"/>
          <w:sz w:val="22"/>
        </w:rPr>
        <w:t xml:space="preserve"> wholly-owned subsidiary, </w:t>
      </w:r>
      <w:proofErr w:type="spellStart"/>
      <w:r w:rsidR="004D7AB3">
        <w:rPr>
          <w:rFonts w:ascii="Arial" w:hAnsi="Arial"/>
          <w:sz w:val="22"/>
        </w:rPr>
        <w:t>Johore</w:t>
      </w:r>
      <w:proofErr w:type="spellEnd"/>
      <w:r w:rsidR="004D7AB3">
        <w:rPr>
          <w:rFonts w:ascii="Arial" w:hAnsi="Arial"/>
          <w:sz w:val="22"/>
        </w:rPr>
        <w:t xml:space="preserve"> Tenggara Oil Palm </w:t>
      </w:r>
      <w:proofErr w:type="spellStart"/>
      <w:r w:rsidR="004D7AB3">
        <w:rPr>
          <w:rFonts w:ascii="Arial" w:hAnsi="Arial"/>
          <w:sz w:val="22"/>
        </w:rPr>
        <w:t>Berhad</w:t>
      </w:r>
      <w:proofErr w:type="spellEnd"/>
      <w:r w:rsidR="00AB0210">
        <w:rPr>
          <w:rFonts w:ascii="Arial" w:hAnsi="Arial"/>
          <w:sz w:val="22"/>
        </w:rPr>
        <w:t xml:space="preserve"> (“JTOP”)</w:t>
      </w:r>
      <w:r w:rsidR="004D7AB3">
        <w:rPr>
          <w:rFonts w:ascii="Arial" w:hAnsi="Arial"/>
          <w:sz w:val="22"/>
        </w:rPr>
        <w:t xml:space="preserve">, for a cash consideration of RM3.2 million on 9 June 2010. </w:t>
      </w:r>
      <w:r w:rsidR="00AE3A1C">
        <w:rPr>
          <w:rFonts w:ascii="Arial" w:hAnsi="Arial"/>
          <w:sz w:val="22"/>
        </w:rPr>
        <w:t>Consequently</w:t>
      </w:r>
      <w:r w:rsidR="004D7AB3">
        <w:rPr>
          <w:rFonts w:ascii="Arial" w:hAnsi="Arial"/>
          <w:sz w:val="22"/>
        </w:rPr>
        <w:t xml:space="preserve">, </w:t>
      </w:r>
      <w:proofErr w:type="spellStart"/>
      <w:r w:rsidR="004D7AB3">
        <w:rPr>
          <w:rFonts w:ascii="Arial" w:hAnsi="Arial"/>
          <w:sz w:val="22"/>
        </w:rPr>
        <w:t>Hak</w:t>
      </w:r>
      <w:proofErr w:type="spellEnd"/>
      <w:r w:rsidR="004D7AB3">
        <w:rPr>
          <w:rFonts w:ascii="Arial" w:hAnsi="Arial"/>
          <w:sz w:val="22"/>
        </w:rPr>
        <w:t xml:space="preserve"> </w:t>
      </w:r>
      <w:r w:rsidR="004D7AB3" w:rsidRPr="001853DD">
        <w:rPr>
          <w:rFonts w:ascii="Arial" w:hAnsi="Arial"/>
          <w:sz w:val="22"/>
        </w:rPr>
        <w:t xml:space="preserve">JTOP </w:t>
      </w:r>
      <w:r w:rsidR="0055737B" w:rsidRPr="001853DD">
        <w:rPr>
          <w:rFonts w:ascii="Arial" w:hAnsi="Arial"/>
          <w:sz w:val="22"/>
          <w:szCs w:val="22"/>
        </w:rPr>
        <w:t>is now</w:t>
      </w:r>
      <w:r w:rsidR="004D7AB3" w:rsidRPr="001853DD">
        <w:rPr>
          <w:rFonts w:ascii="Arial" w:hAnsi="Arial"/>
          <w:sz w:val="22"/>
        </w:rPr>
        <w:t xml:space="preserve"> a wholly-owned subsidiary of </w:t>
      </w:r>
      <w:r w:rsidR="00AB0210" w:rsidRPr="001853DD">
        <w:rPr>
          <w:rFonts w:ascii="Arial" w:hAnsi="Arial"/>
          <w:sz w:val="22"/>
        </w:rPr>
        <w:t>JTOP</w:t>
      </w:r>
      <w:r w:rsidR="004D7AB3" w:rsidRPr="001853DD">
        <w:rPr>
          <w:rFonts w:ascii="Arial" w:hAnsi="Arial"/>
          <w:sz w:val="22"/>
        </w:rPr>
        <w:t>.</w:t>
      </w:r>
    </w:p>
    <w:p w:rsidR="004D7AB3" w:rsidRDefault="004D7AB3" w:rsidP="00890603">
      <w:pPr>
        <w:ind w:left="720"/>
        <w:jc w:val="both"/>
        <w:rPr>
          <w:rFonts w:ascii="Arial" w:hAnsi="Arial"/>
          <w:sz w:val="22"/>
        </w:rPr>
      </w:pPr>
    </w:p>
    <w:p w:rsidR="00890603" w:rsidRPr="00E46EA4" w:rsidRDefault="005F2555" w:rsidP="00085420">
      <w:pPr>
        <w:ind w:left="720"/>
        <w:jc w:val="both"/>
        <w:rPr>
          <w:rFonts w:ascii="Arial" w:hAnsi="Arial"/>
          <w:b/>
          <w:sz w:val="22"/>
        </w:rPr>
      </w:pPr>
      <w:r>
        <w:rPr>
          <w:rFonts w:ascii="Arial" w:hAnsi="Arial"/>
          <w:sz w:val="22"/>
        </w:rPr>
        <w:t>The acquisition</w:t>
      </w:r>
      <w:r w:rsidR="00085420" w:rsidRPr="00E46EA4">
        <w:rPr>
          <w:rFonts w:ascii="Arial" w:hAnsi="Arial"/>
          <w:sz w:val="22"/>
        </w:rPr>
        <w:t xml:space="preserve"> </w:t>
      </w:r>
      <w:r>
        <w:rPr>
          <w:rFonts w:ascii="Arial" w:hAnsi="Arial"/>
          <w:sz w:val="22"/>
        </w:rPr>
        <w:t xml:space="preserve">is not expected to have </w:t>
      </w:r>
      <w:r w:rsidR="00085420" w:rsidRPr="00E46EA4">
        <w:rPr>
          <w:rFonts w:ascii="Arial" w:hAnsi="Arial"/>
          <w:sz w:val="22"/>
        </w:rPr>
        <w:t xml:space="preserve">a material effect on the results of the Group for the current financial year </w:t>
      </w:r>
      <w:r w:rsidR="004D7AB3">
        <w:rPr>
          <w:rFonts w:ascii="Arial" w:hAnsi="Arial"/>
          <w:sz w:val="22"/>
        </w:rPr>
        <w:t xml:space="preserve">other than </w:t>
      </w:r>
      <w:r w:rsidR="00420423">
        <w:rPr>
          <w:rFonts w:ascii="Arial" w:hAnsi="Arial"/>
          <w:sz w:val="22"/>
        </w:rPr>
        <w:t xml:space="preserve">the recognition of </w:t>
      </w:r>
      <w:r w:rsidR="004D7AB3">
        <w:rPr>
          <w:rFonts w:ascii="Arial" w:hAnsi="Arial"/>
          <w:sz w:val="22"/>
        </w:rPr>
        <w:t xml:space="preserve">reserve </w:t>
      </w:r>
      <w:r w:rsidR="00420423">
        <w:rPr>
          <w:rFonts w:ascii="Arial" w:hAnsi="Arial"/>
          <w:sz w:val="22"/>
        </w:rPr>
        <w:t xml:space="preserve">on </w:t>
      </w:r>
      <w:r w:rsidR="004D7AB3">
        <w:rPr>
          <w:rFonts w:ascii="Arial" w:hAnsi="Arial"/>
          <w:sz w:val="22"/>
        </w:rPr>
        <w:t>consolidation amounting to RM1</w:t>
      </w:r>
      <w:proofErr w:type="gramStart"/>
      <w:r w:rsidR="004D7AB3">
        <w:rPr>
          <w:rFonts w:ascii="Arial" w:hAnsi="Arial"/>
          <w:sz w:val="22"/>
        </w:rPr>
        <w:t>,601,000</w:t>
      </w:r>
      <w:proofErr w:type="gramEnd"/>
      <w:r w:rsidR="00420423">
        <w:rPr>
          <w:rFonts w:ascii="Arial" w:hAnsi="Arial"/>
          <w:sz w:val="22"/>
        </w:rPr>
        <w:t xml:space="preserve"> in other operating income</w:t>
      </w:r>
      <w:r w:rsidR="004D7AB3">
        <w:rPr>
          <w:rFonts w:ascii="Arial" w:hAnsi="Arial"/>
          <w:sz w:val="22"/>
        </w:rPr>
        <w:t>.</w:t>
      </w:r>
    </w:p>
    <w:p w:rsidR="00890603" w:rsidRDefault="00890603" w:rsidP="00890603">
      <w:pPr>
        <w:jc w:val="both"/>
        <w:rPr>
          <w:rFonts w:ascii="Arial" w:hAnsi="Arial"/>
          <w:b/>
          <w:sz w:val="22"/>
        </w:rPr>
      </w:pPr>
    </w:p>
    <w:p w:rsidR="005F2555" w:rsidRPr="005F2555" w:rsidRDefault="005F2555" w:rsidP="005F2555">
      <w:pPr>
        <w:ind w:left="720" w:right="34"/>
        <w:jc w:val="both"/>
        <w:rPr>
          <w:rFonts w:ascii="Arial" w:hAnsi="Arial" w:cs="Arial"/>
          <w:sz w:val="22"/>
          <w:szCs w:val="22"/>
        </w:rPr>
      </w:pPr>
      <w:r w:rsidRPr="00E46EA4">
        <w:rPr>
          <w:rFonts w:ascii="Arial" w:hAnsi="Arial" w:cs="Arial"/>
          <w:sz w:val="22"/>
          <w:szCs w:val="22"/>
        </w:rPr>
        <w:t>The details of net assets acquired are as follows:-</w:t>
      </w:r>
    </w:p>
    <w:p w:rsidR="005F2555" w:rsidRDefault="005F2555" w:rsidP="00890603">
      <w:pPr>
        <w:jc w:val="both"/>
        <w:rPr>
          <w:rFonts w:ascii="Arial" w:hAnsi="Arial"/>
          <w:b/>
          <w:sz w:val="22"/>
        </w:rPr>
      </w:pPr>
    </w:p>
    <w:tbl>
      <w:tblPr>
        <w:tblW w:w="7902" w:type="dxa"/>
        <w:tblInd w:w="817" w:type="dxa"/>
        <w:tblLayout w:type="fixed"/>
        <w:tblLook w:val="0000"/>
      </w:tblPr>
      <w:tblGrid>
        <w:gridCol w:w="4770"/>
        <w:gridCol w:w="1440"/>
        <w:gridCol w:w="270"/>
        <w:gridCol w:w="1422"/>
      </w:tblGrid>
      <w:tr w:rsidR="005F2555" w:rsidRPr="00E46EA4">
        <w:trPr>
          <w:trHeight w:val="245"/>
        </w:trPr>
        <w:tc>
          <w:tcPr>
            <w:tcW w:w="4770" w:type="dxa"/>
          </w:tcPr>
          <w:p w:rsidR="005F2555" w:rsidRPr="00E46EA4" w:rsidRDefault="005F2555" w:rsidP="00524D11">
            <w:pPr>
              <w:ind w:firstLine="1080"/>
              <w:jc w:val="both"/>
              <w:rPr>
                <w:rFonts w:ascii="Arial" w:hAnsi="Arial" w:cs="Arial"/>
                <w:sz w:val="22"/>
                <w:szCs w:val="22"/>
              </w:rPr>
            </w:pPr>
          </w:p>
        </w:tc>
        <w:tc>
          <w:tcPr>
            <w:tcW w:w="1440" w:type="dxa"/>
          </w:tcPr>
          <w:p w:rsidR="005F2555" w:rsidRPr="00E46EA4" w:rsidRDefault="005F2555" w:rsidP="00524D11">
            <w:pPr>
              <w:ind w:left="-72" w:right="-72"/>
              <w:jc w:val="center"/>
              <w:rPr>
                <w:rFonts w:ascii="Arial" w:hAnsi="Arial" w:cs="Arial"/>
                <w:b/>
                <w:bCs/>
                <w:sz w:val="22"/>
                <w:szCs w:val="22"/>
              </w:rPr>
            </w:pPr>
            <w:proofErr w:type="spellStart"/>
            <w:r w:rsidRPr="00E46EA4">
              <w:rPr>
                <w:rFonts w:ascii="Arial" w:hAnsi="Arial" w:cs="Arial"/>
                <w:b/>
                <w:bCs/>
                <w:sz w:val="22"/>
                <w:szCs w:val="22"/>
              </w:rPr>
              <w:t>Acquiree’s</w:t>
            </w:r>
            <w:proofErr w:type="spellEnd"/>
          </w:p>
        </w:tc>
        <w:tc>
          <w:tcPr>
            <w:tcW w:w="270" w:type="dxa"/>
          </w:tcPr>
          <w:p w:rsidR="005F2555" w:rsidRPr="00E46EA4" w:rsidRDefault="005F2555" w:rsidP="00524D11">
            <w:pPr>
              <w:jc w:val="center"/>
              <w:rPr>
                <w:rFonts w:ascii="Arial" w:hAnsi="Arial" w:cs="Arial"/>
                <w:b/>
                <w:bCs/>
                <w:sz w:val="22"/>
                <w:szCs w:val="22"/>
              </w:rPr>
            </w:pPr>
          </w:p>
        </w:tc>
        <w:tc>
          <w:tcPr>
            <w:tcW w:w="1422" w:type="dxa"/>
          </w:tcPr>
          <w:p w:rsidR="005F2555" w:rsidRPr="00E46EA4" w:rsidRDefault="005F2555" w:rsidP="00524D11">
            <w:pPr>
              <w:ind w:left="-72" w:right="-72"/>
              <w:jc w:val="center"/>
              <w:rPr>
                <w:rFonts w:ascii="Arial" w:hAnsi="Arial" w:cs="Arial"/>
                <w:b/>
                <w:bCs/>
                <w:sz w:val="22"/>
                <w:szCs w:val="22"/>
              </w:rPr>
            </w:pPr>
          </w:p>
        </w:tc>
      </w:tr>
      <w:tr w:rsidR="005F2555" w:rsidRPr="00E46EA4">
        <w:trPr>
          <w:trHeight w:val="245"/>
        </w:trPr>
        <w:tc>
          <w:tcPr>
            <w:tcW w:w="4770" w:type="dxa"/>
          </w:tcPr>
          <w:p w:rsidR="005F2555" w:rsidRPr="00E46EA4" w:rsidRDefault="005F2555" w:rsidP="00524D11">
            <w:pPr>
              <w:ind w:firstLine="1080"/>
              <w:jc w:val="both"/>
              <w:rPr>
                <w:rFonts w:ascii="Arial" w:hAnsi="Arial" w:cs="Arial"/>
                <w:sz w:val="22"/>
                <w:szCs w:val="22"/>
              </w:rPr>
            </w:pPr>
          </w:p>
        </w:tc>
        <w:tc>
          <w:tcPr>
            <w:tcW w:w="1440" w:type="dxa"/>
          </w:tcPr>
          <w:p w:rsidR="005F2555" w:rsidRPr="00E46EA4" w:rsidRDefault="005F2555" w:rsidP="00524D11">
            <w:pPr>
              <w:ind w:left="-72" w:right="-72"/>
              <w:jc w:val="center"/>
              <w:rPr>
                <w:rFonts w:ascii="Arial" w:hAnsi="Arial" w:cs="Arial"/>
                <w:b/>
                <w:bCs/>
                <w:sz w:val="22"/>
                <w:szCs w:val="22"/>
              </w:rPr>
            </w:pPr>
            <w:r w:rsidRPr="00E46EA4">
              <w:rPr>
                <w:rFonts w:ascii="Arial" w:hAnsi="Arial" w:cs="Arial"/>
                <w:b/>
                <w:bCs/>
                <w:sz w:val="22"/>
                <w:szCs w:val="22"/>
              </w:rPr>
              <w:t>carrying</w:t>
            </w:r>
          </w:p>
        </w:tc>
        <w:tc>
          <w:tcPr>
            <w:tcW w:w="270" w:type="dxa"/>
          </w:tcPr>
          <w:p w:rsidR="005F2555" w:rsidRPr="00E46EA4" w:rsidRDefault="005F2555" w:rsidP="00524D11">
            <w:pPr>
              <w:jc w:val="center"/>
              <w:rPr>
                <w:rFonts w:ascii="Arial" w:hAnsi="Arial" w:cs="Arial"/>
                <w:b/>
                <w:bCs/>
                <w:sz w:val="22"/>
                <w:szCs w:val="22"/>
              </w:rPr>
            </w:pPr>
          </w:p>
        </w:tc>
        <w:tc>
          <w:tcPr>
            <w:tcW w:w="1422" w:type="dxa"/>
          </w:tcPr>
          <w:p w:rsidR="005F2555" w:rsidRPr="00E46EA4" w:rsidRDefault="005F2555" w:rsidP="00524D11">
            <w:pPr>
              <w:ind w:left="-72" w:right="-72"/>
              <w:jc w:val="center"/>
              <w:rPr>
                <w:rFonts w:ascii="Arial" w:hAnsi="Arial" w:cs="Arial"/>
                <w:b/>
                <w:bCs/>
                <w:sz w:val="22"/>
                <w:szCs w:val="22"/>
              </w:rPr>
            </w:pPr>
          </w:p>
        </w:tc>
      </w:tr>
      <w:tr w:rsidR="005F2555" w:rsidRPr="00E46EA4">
        <w:trPr>
          <w:trHeight w:val="245"/>
        </w:trPr>
        <w:tc>
          <w:tcPr>
            <w:tcW w:w="4770" w:type="dxa"/>
          </w:tcPr>
          <w:p w:rsidR="005F2555" w:rsidRPr="00E46EA4" w:rsidRDefault="005F2555" w:rsidP="005F2555">
            <w:pPr>
              <w:ind w:left="-839" w:firstLine="1919"/>
              <w:jc w:val="both"/>
              <w:rPr>
                <w:rFonts w:ascii="Arial" w:hAnsi="Arial" w:cs="Arial"/>
                <w:sz w:val="22"/>
                <w:szCs w:val="22"/>
              </w:rPr>
            </w:pPr>
          </w:p>
        </w:tc>
        <w:tc>
          <w:tcPr>
            <w:tcW w:w="1440" w:type="dxa"/>
          </w:tcPr>
          <w:p w:rsidR="005F2555" w:rsidRPr="00E46EA4" w:rsidRDefault="005F2555" w:rsidP="00524D11">
            <w:pPr>
              <w:ind w:left="-72" w:right="-72"/>
              <w:jc w:val="center"/>
              <w:rPr>
                <w:rFonts w:ascii="Arial" w:hAnsi="Arial" w:cs="Arial"/>
                <w:b/>
                <w:bCs/>
                <w:sz w:val="22"/>
                <w:szCs w:val="22"/>
              </w:rPr>
            </w:pPr>
            <w:r w:rsidRPr="00E46EA4">
              <w:rPr>
                <w:rFonts w:ascii="Arial" w:hAnsi="Arial" w:cs="Arial"/>
                <w:b/>
                <w:bCs/>
                <w:sz w:val="22"/>
                <w:szCs w:val="22"/>
              </w:rPr>
              <w:t>amount</w:t>
            </w:r>
          </w:p>
        </w:tc>
        <w:tc>
          <w:tcPr>
            <w:tcW w:w="270" w:type="dxa"/>
          </w:tcPr>
          <w:p w:rsidR="005F2555" w:rsidRPr="00E46EA4" w:rsidRDefault="005F2555" w:rsidP="00524D11">
            <w:pPr>
              <w:jc w:val="center"/>
              <w:rPr>
                <w:rFonts w:ascii="Arial" w:hAnsi="Arial" w:cs="Arial"/>
                <w:b/>
                <w:bCs/>
                <w:sz w:val="22"/>
                <w:szCs w:val="22"/>
              </w:rPr>
            </w:pPr>
          </w:p>
        </w:tc>
        <w:tc>
          <w:tcPr>
            <w:tcW w:w="1422" w:type="dxa"/>
          </w:tcPr>
          <w:p w:rsidR="005F2555" w:rsidRPr="00E46EA4" w:rsidRDefault="005F2555" w:rsidP="00524D11">
            <w:pPr>
              <w:ind w:left="-72" w:right="-72"/>
              <w:jc w:val="center"/>
              <w:rPr>
                <w:rFonts w:ascii="Arial" w:hAnsi="Arial" w:cs="Arial"/>
                <w:b/>
                <w:bCs/>
                <w:sz w:val="22"/>
                <w:szCs w:val="22"/>
              </w:rPr>
            </w:pPr>
            <w:r w:rsidRPr="00E46EA4">
              <w:rPr>
                <w:rFonts w:ascii="Arial" w:hAnsi="Arial" w:cs="Arial"/>
                <w:b/>
                <w:bCs/>
                <w:sz w:val="22"/>
                <w:szCs w:val="22"/>
              </w:rPr>
              <w:t>Fair value</w:t>
            </w:r>
          </w:p>
        </w:tc>
      </w:tr>
      <w:tr w:rsidR="005F2555" w:rsidRPr="00E46EA4">
        <w:trPr>
          <w:trHeight w:hRule="exact" w:val="245"/>
        </w:trPr>
        <w:tc>
          <w:tcPr>
            <w:tcW w:w="4770" w:type="dxa"/>
          </w:tcPr>
          <w:p w:rsidR="005F2555" w:rsidRPr="00E46EA4" w:rsidRDefault="005F2555" w:rsidP="00524D11">
            <w:pPr>
              <w:ind w:firstLine="1080"/>
              <w:jc w:val="both"/>
              <w:rPr>
                <w:rFonts w:ascii="Arial" w:hAnsi="Arial" w:cs="Arial"/>
                <w:sz w:val="22"/>
                <w:szCs w:val="22"/>
              </w:rPr>
            </w:pPr>
          </w:p>
        </w:tc>
        <w:tc>
          <w:tcPr>
            <w:tcW w:w="1440" w:type="dxa"/>
          </w:tcPr>
          <w:p w:rsidR="005F2555" w:rsidRPr="00E46EA4" w:rsidRDefault="005F2555" w:rsidP="00524D11">
            <w:pPr>
              <w:ind w:left="-72" w:right="-72"/>
              <w:jc w:val="center"/>
              <w:rPr>
                <w:rFonts w:ascii="Arial" w:hAnsi="Arial" w:cs="Arial"/>
                <w:b/>
                <w:bCs/>
                <w:sz w:val="22"/>
                <w:szCs w:val="22"/>
              </w:rPr>
            </w:pPr>
            <w:r w:rsidRPr="00E46EA4">
              <w:rPr>
                <w:rFonts w:ascii="Arial" w:hAnsi="Arial" w:cs="Arial"/>
                <w:b/>
                <w:bCs/>
                <w:sz w:val="22"/>
                <w:szCs w:val="22"/>
              </w:rPr>
              <w:t>RM’000</w:t>
            </w:r>
          </w:p>
        </w:tc>
        <w:tc>
          <w:tcPr>
            <w:tcW w:w="270" w:type="dxa"/>
          </w:tcPr>
          <w:p w:rsidR="005F2555" w:rsidRPr="00E46EA4" w:rsidRDefault="005F2555" w:rsidP="00524D11">
            <w:pPr>
              <w:jc w:val="center"/>
              <w:rPr>
                <w:rFonts w:ascii="Arial" w:hAnsi="Arial" w:cs="Arial"/>
                <w:b/>
                <w:bCs/>
                <w:sz w:val="22"/>
                <w:szCs w:val="22"/>
              </w:rPr>
            </w:pPr>
          </w:p>
        </w:tc>
        <w:tc>
          <w:tcPr>
            <w:tcW w:w="1422" w:type="dxa"/>
          </w:tcPr>
          <w:p w:rsidR="005F2555" w:rsidRPr="00E46EA4" w:rsidRDefault="005F2555" w:rsidP="00524D11">
            <w:pPr>
              <w:ind w:left="-72" w:right="-72"/>
              <w:jc w:val="center"/>
              <w:rPr>
                <w:rFonts w:ascii="Arial" w:hAnsi="Arial" w:cs="Arial"/>
                <w:b/>
                <w:bCs/>
                <w:sz w:val="22"/>
                <w:szCs w:val="22"/>
              </w:rPr>
            </w:pPr>
            <w:r w:rsidRPr="00E46EA4">
              <w:rPr>
                <w:rFonts w:ascii="Arial" w:hAnsi="Arial" w:cs="Arial"/>
                <w:b/>
                <w:bCs/>
                <w:sz w:val="22"/>
                <w:szCs w:val="22"/>
              </w:rPr>
              <w:t>RM’000</w:t>
            </w:r>
          </w:p>
        </w:tc>
      </w:tr>
      <w:tr w:rsidR="005F2555" w:rsidRPr="00E46EA4">
        <w:trPr>
          <w:trHeight w:hRule="exact" w:val="173"/>
        </w:trPr>
        <w:tc>
          <w:tcPr>
            <w:tcW w:w="4770" w:type="dxa"/>
          </w:tcPr>
          <w:p w:rsidR="005F2555" w:rsidRPr="00E46EA4" w:rsidRDefault="005F2555" w:rsidP="00524D11">
            <w:pPr>
              <w:ind w:firstLine="1080"/>
              <w:jc w:val="both"/>
              <w:rPr>
                <w:rFonts w:ascii="Arial" w:hAnsi="Arial" w:cs="Arial"/>
                <w:sz w:val="22"/>
                <w:szCs w:val="22"/>
              </w:rPr>
            </w:pPr>
          </w:p>
        </w:tc>
        <w:tc>
          <w:tcPr>
            <w:tcW w:w="1440" w:type="dxa"/>
          </w:tcPr>
          <w:p w:rsidR="005F2555" w:rsidRPr="00E46EA4" w:rsidRDefault="005F2555" w:rsidP="00524D11">
            <w:pPr>
              <w:jc w:val="center"/>
              <w:rPr>
                <w:rFonts w:ascii="Arial" w:hAnsi="Arial" w:cs="Arial"/>
                <w:b/>
                <w:bCs/>
                <w:sz w:val="22"/>
                <w:szCs w:val="22"/>
              </w:rPr>
            </w:pPr>
          </w:p>
        </w:tc>
        <w:tc>
          <w:tcPr>
            <w:tcW w:w="270" w:type="dxa"/>
          </w:tcPr>
          <w:p w:rsidR="005F2555" w:rsidRPr="00E46EA4" w:rsidRDefault="005F2555" w:rsidP="00524D11">
            <w:pPr>
              <w:jc w:val="center"/>
              <w:rPr>
                <w:rFonts w:ascii="Arial" w:hAnsi="Arial" w:cs="Arial"/>
                <w:b/>
                <w:bCs/>
                <w:sz w:val="22"/>
                <w:szCs w:val="22"/>
              </w:rPr>
            </w:pPr>
          </w:p>
        </w:tc>
        <w:tc>
          <w:tcPr>
            <w:tcW w:w="1422" w:type="dxa"/>
          </w:tcPr>
          <w:p w:rsidR="005F2555" w:rsidRPr="00E46EA4" w:rsidRDefault="005F2555" w:rsidP="00524D11">
            <w:pPr>
              <w:ind w:left="-72" w:right="-72"/>
              <w:jc w:val="center"/>
              <w:rPr>
                <w:rFonts w:ascii="Arial" w:hAnsi="Arial" w:cs="Arial"/>
                <w:b/>
                <w:bCs/>
                <w:sz w:val="22"/>
                <w:szCs w:val="22"/>
              </w:rPr>
            </w:pPr>
          </w:p>
        </w:tc>
      </w:tr>
      <w:tr w:rsidR="004D7AB3" w:rsidRPr="00E46EA4">
        <w:trPr>
          <w:trHeight w:hRule="exact" w:val="317"/>
        </w:trPr>
        <w:tc>
          <w:tcPr>
            <w:tcW w:w="4770" w:type="dxa"/>
          </w:tcPr>
          <w:p w:rsidR="004D7AB3" w:rsidRPr="00E46EA4" w:rsidRDefault="004D7AB3" w:rsidP="00E226A7">
            <w:pPr>
              <w:spacing w:before="60" w:after="60"/>
              <w:ind w:hanging="18"/>
              <w:jc w:val="both"/>
              <w:rPr>
                <w:rFonts w:ascii="Arial" w:hAnsi="Arial" w:cs="Arial"/>
                <w:sz w:val="22"/>
                <w:szCs w:val="22"/>
              </w:rPr>
            </w:pPr>
            <w:r w:rsidRPr="00E46EA4">
              <w:rPr>
                <w:rFonts w:ascii="Arial" w:hAnsi="Arial" w:cs="Arial"/>
                <w:sz w:val="22"/>
                <w:szCs w:val="22"/>
              </w:rPr>
              <w:t xml:space="preserve">Other receivable </w:t>
            </w:r>
          </w:p>
        </w:tc>
        <w:tc>
          <w:tcPr>
            <w:tcW w:w="1440" w:type="dxa"/>
          </w:tcPr>
          <w:p w:rsidR="004D7AB3" w:rsidRPr="00FA50B8" w:rsidRDefault="004D7AB3" w:rsidP="00E226A7">
            <w:pPr>
              <w:tabs>
                <w:tab w:val="decimal" w:pos="1098"/>
              </w:tabs>
              <w:spacing w:before="60" w:after="60"/>
              <w:jc w:val="both"/>
              <w:rPr>
                <w:rFonts w:ascii="Arial" w:hAnsi="Arial" w:cs="Arial"/>
                <w:sz w:val="22"/>
                <w:szCs w:val="22"/>
              </w:rPr>
            </w:pPr>
            <w:r>
              <w:rPr>
                <w:rFonts w:ascii="Arial" w:hAnsi="Arial" w:cs="Arial"/>
                <w:sz w:val="22"/>
                <w:szCs w:val="22"/>
              </w:rPr>
              <w:t>4,888</w:t>
            </w:r>
          </w:p>
        </w:tc>
        <w:tc>
          <w:tcPr>
            <w:tcW w:w="270" w:type="dxa"/>
          </w:tcPr>
          <w:p w:rsidR="004D7AB3" w:rsidRPr="00FA50B8" w:rsidRDefault="004D7AB3" w:rsidP="00E226A7">
            <w:pPr>
              <w:tabs>
                <w:tab w:val="decimal" w:pos="972"/>
              </w:tabs>
              <w:spacing w:before="60" w:after="60"/>
              <w:jc w:val="both"/>
              <w:rPr>
                <w:rFonts w:ascii="Arial" w:hAnsi="Arial" w:cs="Arial"/>
                <w:b/>
                <w:bCs/>
                <w:sz w:val="22"/>
                <w:szCs w:val="22"/>
              </w:rPr>
            </w:pPr>
          </w:p>
        </w:tc>
        <w:tc>
          <w:tcPr>
            <w:tcW w:w="1422" w:type="dxa"/>
          </w:tcPr>
          <w:p w:rsidR="004D7AB3" w:rsidRPr="00FA50B8" w:rsidRDefault="004D7AB3" w:rsidP="00E226A7">
            <w:pPr>
              <w:tabs>
                <w:tab w:val="decimal" w:pos="1098"/>
              </w:tabs>
              <w:spacing w:before="60" w:after="60"/>
              <w:jc w:val="both"/>
              <w:rPr>
                <w:rFonts w:ascii="Arial" w:hAnsi="Arial" w:cs="Arial"/>
                <w:sz w:val="22"/>
                <w:szCs w:val="22"/>
              </w:rPr>
            </w:pPr>
            <w:r>
              <w:rPr>
                <w:rFonts w:ascii="Arial" w:hAnsi="Arial" w:cs="Arial"/>
                <w:sz w:val="22"/>
                <w:szCs w:val="22"/>
              </w:rPr>
              <w:t>4,888</w:t>
            </w:r>
          </w:p>
        </w:tc>
      </w:tr>
      <w:tr w:rsidR="004D7AB3" w:rsidRPr="00E46EA4">
        <w:trPr>
          <w:trHeight w:hRule="exact" w:val="317"/>
        </w:trPr>
        <w:tc>
          <w:tcPr>
            <w:tcW w:w="4770" w:type="dxa"/>
          </w:tcPr>
          <w:p w:rsidR="004D7AB3" w:rsidRPr="00E46EA4" w:rsidRDefault="004D7AB3" w:rsidP="00E226A7">
            <w:pPr>
              <w:spacing w:before="60" w:after="60"/>
              <w:ind w:hanging="18"/>
              <w:jc w:val="both"/>
              <w:rPr>
                <w:rFonts w:ascii="Arial" w:hAnsi="Arial" w:cs="Arial"/>
                <w:sz w:val="22"/>
                <w:szCs w:val="22"/>
              </w:rPr>
            </w:pPr>
            <w:r w:rsidRPr="00E46EA4">
              <w:rPr>
                <w:rFonts w:ascii="Arial" w:hAnsi="Arial" w:cs="Arial"/>
                <w:sz w:val="22"/>
                <w:szCs w:val="22"/>
              </w:rPr>
              <w:t>Other payables</w:t>
            </w:r>
          </w:p>
        </w:tc>
        <w:tc>
          <w:tcPr>
            <w:tcW w:w="1440" w:type="dxa"/>
            <w:tcBorders>
              <w:bottom w:val="single" w:sz="6" w:space="0" w:color="auto"/>
            </w:tcBorders>
          </w:tcPr>
          <w:p w:rsidR="004D7AB3" w:rsidRPr="00FA50B8" w:rsidRDefault="004D7AB3" w:rsidP="00E226A7">
            <w:pPr>
              <w:tabs>
                <w:tab w:val="decimal" w:pos="1098"/>
              </w:tabs>
              <w:spacing w:before="60" w:after="60"/>
              <w:jc w:val="both"/>
              <w:rPr>
                <w:rFonts w:ascii="Arial" w:hAnsi="Arial" w:cs="Arial"/>
                <w:sz w:val="22"/>
                <w:szCs w:val="22"/>
              </w:rPr>
            </w:pPr>
            <w:r>
              <w:rPr>
                <w:rFonts w:ascii="Arial" w:hAnsi="Arial" w:cs="Arial"/>
                <w:sz w:val="22"/>
                <w:szCs w:val="22"/>
              </w:rPr>
              <w:t>(87)</w:t>
            </w:r>
          </w:p>
        </w:tc>
        <w:tc>
          <w:tcPr>
            <w:tcW w:w="270" w:type="dxa"/>
          </w:tcPr>
          <w:p w:rsidR="004D7AB3" w:rsidRPr="00FA50B8" w:rsidRDefault="004D7AB3" w:rsidP="00E226A7">
            <w:pPr>
              <w:tabs>
                <w:tab w:val="decimal" w:pos="972"/>
              </w:tabs>
              <w:spacing w:before="60" w:after="60"/>
              <w:jc w:val="both"/>
              <w:rPr>
                <w:rFonts w:ascii="Arial" w:hAnsi="Arial" w:cs="Arial"/>
                <w:b/>
                <w:bCs/>
                <w:sz w:val="22"/>
                <w:szCs w:val="22"/>
              </w:rPr>
            </w:pPr>
          </w:p>
        </w:tc>
        <w:tc>
          <w:tcPr>
            <w:tcW w:w="1422" w:type="dxa"/>
            <w:tcBorders>
              <w:bottom w:val="single" w:sz="6" w:space="0" w:color="auto"/>
            </w:tcBorders>
          </w:tcPr>
          <w:p w:rsidR="004D7AB3" w:rsidRPr="00FA50B8" w:rsidRDefault="004D7AB3" w:rsidP="00E226A7">
            <w:pPr>
              <w:tabs>
                <w:tab w:val="decimal" w:pos="1098"/>
              </w:tabs>
              <w:spacing w:before="60" w:after="60"/>
              <w:jc w:val="both"/>
              <w:rPr>
                <w:rFonts w:ascii="Arial" w:hAnsi="Arial" w:cs="Arial"/>
                <w:sz w:val="22"/>
                <w:szCs w:val="22"/>
              </w:rPr>
            </w:pPr>
            <w:r>
              <w:rPr>
                <w:rFonts w:ascii="Arial" w:hAnsi="Arial" w:cs="Arial"/>
                <w:sz w:val="22"/>
                <w:szCs w:val="22"/>
              </w:rPr>
              <w:t>(87)</w:t>
            </w:r>
          </w:p>
        </w:tc>
      </w:tr>
      <w:tr w:rsidR="004D7AB3" w:rsidRPr="00E46EA4">
        <w:trPr>
          <w:trHeight w:hRule="exact" w:val="317"/>
        </w:trPr>
        <w:tc>
          <w:tcPr>
            <w:tcW w:w="4770" w:type="dxa"/>
          </w:tcPr>
          <w:p w:rsidR="004D7AB3" w:rsidRPr="00E46EA4" w:rsidRDefault="004D7AB3" w:rsidP="00E226A7">
            <w:pPr>
              <w:spacing w:before="60" w:after="60"/>
              <w:ind w:hanging="18"/>
              <w:jc w:val="both"/>
              <w:rPr>
                <w:rFonts w:ascii="Arial" w:hAnsi="Arial" w:cs="Arial"/>
                <w:sz w:val="22"/>
                <w:szCs w:val="22"/>
              </w:rPr>
            </w:pPr>
            <w:r>
              <w:rPr>
                <w:rFonts w:ascii="Arial" w:hAnsi="Arial" w:cs="Arial"/>
                <w:sz w:val="22"/>
                <w:szCs w:val="22"/>
              </w:rPr>
              <w:t>Group’s share of net assets</w:t>
            </w:r>
          </w:p>
        </w:tc>
        <w:tc>
          <w:tcPr>
            <w:tcW w:w="1440" w:type="dxa"/>
            <w:tcBorders>
              <w:bottom w:val="single" w:sz="12" w:space="0" w:color="auto"/>
            </w:tcBorders>
          </w:tcPr>
          <w:p w:rsidR="004D7AB3" w:rsidRPr="00FA50B8" w:rsidRDefault="004D7AB3" w:rsidP="00E226A7">
            <w:pPr>
              <w:tabs>
                <w:tab w:val="decimal" w:pos="1098"/>
              </w:tabs>
              <w:spacing w:before="60" w:after="60"/>
              <w:jc w:val="both"/>
              <w:rPr>
                <w:rFonts w:ascii="Arial" w:hAnsi="Arial" w:cs="Arial"/>
                <w:sz w:val="22"/>
                <w:szCs w:val="22"/>
              </w:rPr>
            </w:pPr>
            <w:r>
              <w:rPr>
                <w:rFonts w:ascii="Arial" w:hAnsi="Arial" w:cs="Arial"/>
                <w:sz w:val="22"/>
                <w:szCs w:val="22"/>
              </w:rPr>
              <w:t>4,801</w:t>
            </w:r>
          </w:p>
        </w:tc>
        <w:tc>
          <w:tcPr>
            <w:tcW w:w="270" w:type="dxa"/>
          </w:tcPr>
          <w:p w:rsidR="004D7AB3" w:rsidRPr="00FA50B8" w:rsidRDefault="004D7AB3" w:rsidP="00E226A7">
            <w:pPr>
              <w:tabs>
                <w:tab w:val="decimal" w:pos="972"/>
              </w:tabs>
              <w:spacing w:before="60" w:after="60"/>
              <w:jc w:val="both"/>
              <w:rPr>
                <w:rFonts w:ascii="Arial" w:hAnsi="Arial" w:cs="Arial"/>
                <w:b/>
                <w:bCs/>
                <w:sz w:val="22"/>
                <w:szCs w:val="22"/>
              </w:rPr>
            </w:pPr>
          </w:p>
        </w:tc>
        <w:tc>
          <w:tcPr>
            <w:tcW w:w="1422" w:type="dxa"/>
          </w:tcPr>
          <w:p w:rsidR="004D7AB3" w:rsidRPr="00FA50B8" w:rsidRDefault="004D7AB3" w:rsidP="00E226A7">
            <w:pPr>
              <w:tabs>
                <w:tab w:val="decimal" w:pos="1098"/>
              </w:tabs>
              <w:spacing w:before="60" w:after="60"/>
              <w:jc w:val="both"/>
              <w:rPr>
                <w:rFonts w:ascii="Arial" w:hAnsi="Arial" w:cs="Arial"/>
                <w:sz w:val="22"/>
                <w:szCs w:val="22"/>
              </w:rPr>
            </w:pPr>
            <w:r>
              <w:rPr>
                <w:rFonts w:ascii="Arial" w:hAnsi="Arial" w:cs="Arial"/>
                <w:sz w:val="22"/>
                <w:szCs w:val="22"/>
              </w:rPr>
              <w:t>4,801</w:t>
            </w:r>
          </w:p>
        </w:tc>
      </w:tr>
      <w:tr w:rsidR="004D7AB3" w:rsidRPr="00E46EA4">
        <w:trPr>
          <w:trHeight w:hRule="exact" w:val="317"/>
        </w:trPr>
        <w:tc>
          <w:tcPr>
            <w:tcW w:w="4770" w:type="dxa"/>
          </w:tcPr>
          <w:p w:rsidR="004D7AB3" w:rsidRPr="00E46EA4" w:rsidRDefault="004D7AB3" w:rsidP="00E226A7">
            <w:pPr>
              <w:spacing w:before="60" w:after="60"/>
              <w:ind w:left="18" w:hanging="18"/>
              <w:jc w:val="both"/>
              <w:rPr>
                <w:rFonts w:ascii="Arial" w:hAnsi="Arial" w:cs="Arial"/>
                <w:sz w:val="22"/>
                <w:szCs w:val="22"/>
              </w:rPr>
            </w:pPr>
            <w:r>
              <w:rPr>
                <w:rFonts w:ascii="Arial" w:hAnsi="Arial" w:cs="Arial"/>
                <w:sz w:val="22"/>
                <w:szCs w:val="22"/>
              </w:rPr>
              <w:t>Reserve on consolidation</w:t>
            </w:r>
          </w:p>
        </w:tc>
        <w:tc>
          <w:tcPr>
            <w:tcW w:w="1440" w:type="dxa"/>
          </w:tcPr>
          <w:p w:rsidR="004D7AB3" w:rsidRPr="00FA50B8" w:rsidRDefault="004D7AB3" w:rsidP="00E226A7">
            <w:pPr>
              <w:tabs>
                <w:tab w:val="decimal" w:pos="1098"/>
              </w:tabs>
              <w:spacing w:before="60" w:after="60"/>
              <w:jc w:val="both"/>
              <w:rPr>
                <w:rFonts w:ascii="Arial" w:hAnsi="Arial" w:cs="Arial"/>
                <w:sz w:val="22"/>
                <w:szCs w:val="22"/>
              </w:rPr>
            </w:pPr>
          </w:p>
        </w:tc>
        <w:tc>
          <w:tcPr>
            <w:tcW w:w="270" w:type="dxa"/>
          </w:tcPr>
          <w:p w:rsidR="004D7AB3" w:rsidRPr="00FA50B8" w:rsidRDefault="004D7AB3" w:rsidP="00E226A7">
            <w:pPr>
              <w:tabs>
                <w:tab w:val="decimal" w:pos="972"/>
              </w:tabs>
              <w:spacing w:before="60" w:after="60"/>
              <w:jc w:val="both"/>
              <w:rPr>
                <w:rFonts w:ascii="Arial" w:hAnsi="Arial" w:cs="Arial"/>
                <w:b/>
                <w:bCs/>
                <w:sz w:val="22"/>
                <w:szCs w:val="22"/>
              </w:rPr>
            </w:pPr>
          </w:p>
        </w:tc>
        <w:tc>
          <w:tcPr>
            <w:tcW w:w="1422" w:type="dxa"/>
            <w:tcBorders>
              <w:bottom w:val="single" w:sz="6" w:space="0" w:color="auto"/>
            </w:tcBorders>
          </w:tcPr>
          <w:p w:rsidR="004D7AB3" w:rsidRPr="00FA50B8" w:rsidRDefault="004D7AB3" w:rsidP="00E226A7">
            <w:pPr>
              <w:tabs>
                <w:tab w:val="decimal" w:pos="1098"/>
              </w:tabs>
              <w:spacing w:before="60" w:after="60"/>
              <w:jc w:val="both"/>
              <w:rPr>
                <w:rFonts w:ascii="Arial" w:hAnsi="Arial" w:cs="Arial"/>
                <w:sz w:val="22"/>
                <w:szCs w:val="22"/>
              </w:rPr>
            </w:pPr>
            <w:r>
              <w:rPr>
                <w:rFonts w:ascii="Arial" w:hAnsi="Arial" w:cs="Arial"/>
                <w:sz w:val="22"/>
                <w:szCs w:val="22"/>
              </w:rPr>
              <w:t>(1,601)</w:t>
            </w:r>
          </w:p>
        </w:tc>
      </w:tr>
      <w:tr w:rsidR="004D7AB3" w:rsidRPr="00E46EA4">
        <w:trPr>
          <w:trHeight w:hRule="exact" w:val="317"/>
        </w:trPr>
        <w:tc>
          <w:tcPr>
            <w:tcW w:w="4770" w:type="dxa"/>
          </w:tcPr>
          <w:p w:rsidR="004D7AB3" w:rsidRPr="00E46EA4" w:rsidRDefault="004D7AB3" w:rsidP="00E226A7">
            <w:pPr>
              <w:spacing w:before="60" w:after="60"/>
              <w:ind w:hanging="7"/>
              <w:rPr>
                <w:rFonts w:ascii="Arial" w:hAnsi="Arial" w:cs="Arial"/>
                <w:sz w:val="22"/>
                <w:szCs w:val="22"/>
              </w:rPr>
            </w:pPr>
            <w:r>
              <w:rPr>
                <w:rFonts w:ascii="Arial" w:hAnsi="Arial" w:cs="Arial"/>
                <w:sz w:val="22"/>
                <w:szCs w:val="22"/>
              </w:rPr>
              <w:t>Total cost of acquisition</w:t>
            </w:r>
          </w:p>
        </w:tc>
        <w:tc>
          <w:tcPr>
            <w:tcW w:w="1440" w:type="dxa"/>
          </w:tcPr>
          <w:p w:rsidR="004D7AB3" w:rsidRPr="00E46EA4" w:rsidRDefault="004D7AB3" w:rsidP="00E226A7">
            <w:pPr>
              <w:tabs>
                <w:tab w:val="decimal" w:pos="1098"/>
              </w:tabs>
              <w:spacing w:before="60" w:after="60"/>
              <w:jc w:val="both"/>
              <w:rPr>
                <w:rFonts w:ascii="Arial" w:hAnsi="Arial" w:cs="Arial"/>
                <w:sz w:val="22"/>
                <w:szCs w:val="22"/>
              </w:rPr>
            </w:pPr>
          </w:p>
        </w:tc>
        <w:tc>
          <w:tcPr>
            <w:tcW w:w="270" w:type="dxa"/>
          </w:tcPr>
          <w:p w:rsidR="004D7AB3" w:rsidRPr="00E46EA4" w:rsidRDefault="004D7AB3" w:rsidP="00E226A7">
            <w:pPr>
              <w:tabs>
                <w:tab w:val="decimal" w:pos="972"/>
              </w:tabs>
              <w:spacing w:before="60" w:after="60"/>
              <w:jc w:val="both"/>
              <w:rPr>
                <w:rFonts w:ascii="Arial" w:hAnsi="Arial" w:cs="Arial"/>
                <w:b/>
                <w:bCs/>
                <w:sz w:val="22"/>
                <w:szCs w:val="22"/>
              </w:rPr>
            </w:pPr>
          </w:p>
        </w:tc>
        <w:tc>
          <w:tcPr>
            <w:tcW w:w="1422" w:type="dxa"/>
            <w:tcBorders>
              <w:bottom w:val="single" w:sz="12" w:space="0" w:color="auto"/>
            </w:tcBorders>
          </w:tcPr>
          <w:p w:rsidR="004D7AB3" w:rsidRPr="00E46EA4" w:rsidRDefault="004D7AB3" w:rsidP="00E226A7">
            <w:pPr>
              <w:tabs>
                <w:tab w:val="decimal" w:pos="1098"/>
              </w:tabs>
              <w:spacing w:before="60" w:after="60"/>
              <w:ind w:left="-72" w:right="-72"/>
              <w:jc w:val="both"/>
              <w:rPr>
                <w:rFonts w:ascii="Arial" w:hAnsi="Arial" w:cs="Arial"/>
                <w:sz w:val="22"/>
                <w:szCs w:val="22"/>
              </w:rPr>
            </w:pPr>
            <w:r>
              <w:rPr>
                <w:rFonts w:ascii="Arial" w:hAnsi="Arial" w:cs="Arial"/>
                <w:sz w:val="22"/>
                <w:szCs w:val="22"/>
              </w:rPr>
              <w:t>3,200</w:t>
            </w:r>
          </w:p>
        </w:tc>
      </w:tr>
    </w:tbl>
    <w:p w:rsidR="005F2555" w:rsidRDefault="005F2555" w:rsidP="00890603">
      <w:pPr>
        <w:jc w:val="both"/>
        <w:rPr>
          <w:rFonts w:ascii="Arial" w:hAnsi="Arial"/>
          <w:b/>
          <w:sz w:val="22"/>
        </w:rPr>
      </w:pPr>
    </w:p>
    <w:p w:rsidR="00DF49EA" w:rsidRPr="00CD6F4A" w:rsidRDefault="00DF49EA" w:rsidP="005F2555">
      <w:pPr>
        <w:jc w:val="both"/>
        <w:rPr>
          <w:rFonts w:ascii="Arial" w:hAnsi="Arial"/>
          <w:sz w:val="22"/>
        </w:rPr>
      </w:pPr>
    </w:p>
    <w:p w:rsidR="009C4456" w:rsidRPr="00CD6F4A" w:rsidRDefault="009C4456" w:rsidP="009C4456">
      <w:pPr>
        <w:pStyle w:val="BodyTextIndent"/>
        <w:numPr>
          <w:ilvl w:val="0"/>
          <w:numId w:val="19"/>
        </w:numPr>
        <w:tabs>
          <w:tab w:val="clear" w:pos="960"/>
        </w:tabs>
        <w:ind w:left="720" w:hanging="720"/>
        <w:rPr>
          <w:b/>
          <w:sz w:val="22"/>
        </w:rPr>
      </w:pPr>
      <w:r w:rsidRPr="00CD6F4A">
        <w:rPr>
          <w:b/>
          <w:sz w:val="22"/>
        </w:rPr>
        <w:t>Capital Commitments</w:t>
      </w:r>
    </w:p>
    <w:p w:rsidR="009C4456" w:rsidRPr="00CD6F4A" w:rsidRDefault="009C4456" w:rsidP="009C4456">
      <w:pPr>
        <w:jc w:val="both"/>
        <w:rPr>
          <w:rFonts w:ascii="Arial" w:hAnsi="Arial"/>
          <w:sz w:val="22"/>
        </w:rPr>
      </w:pPr>
    </w:p>
    <w:p w:rsidR="009C4456" w:rsidRPr="00CD6F4A" w:rsidRDefault="009C4456" w:rsidP="009C4456">
      <w:pPr>
        <w:ind w:left="720"/>
        <w:jc w:val="both"/>
        <w:rPr>
          <w:rFonts w:ascii="Arial" w:hAnsi="Arial"/>
          <w:sz w:val="22"/>
        </w:rPr>
      </w:pPr>
      <w:r w:rsidRPr="00CD6F4A">
        <w:rPr>
          <w:rFonts w:ascii="Arial" w:hAnsi="Arial"/>
          <w:sz w:val="22"/>
        </w:rPr>
        <w:t xml:space="preserve">The amount of capital commitments not provided for in the financial statements as at </w:t>
      </w:r>
      <w:r w:rsidR="00C543B5" w:rsidRPr="00CD6F4A">
        <w:rPr>
          <w:rFonts w:ascii="Arial" w:hAnsi="Arial"/>
          <w:sz w:val="22"/>
        </w:rPr>
        <w:t>3</w:t>
      </w:r>
      <w:r w:rsidR="00057CB1">
        <w:rPr>
          <w:rFonts w:ascii="Arial" w:hAnsi="Arial"/>
          <w:sz w:val="22"/>
        </w:rPr>
        <w:t>0</w:t>
      </w:r>
      <w:r w:rsidR="00C543B5" w:rsidRPr="00CD6F4A">
        <w:rPr>
          <w:rFonts w:ascii="Arial" w:hAnsi="Arial"/>
          <w:sz w:val="22"/>
        </w:rPr>
        <w:t xml:space="preserve"> </w:t>
      </w:r>
      <w:r w:rsidR="00057CB1">
        <w:rPr>
          <w:rFonts w:ascii="Arial" w:hAnsi="Arial"/>
          <w:sz w:val="22"/>
        </w:rPr>
        <w:t>June</w:t>
      </w:r>
      <w:r w:rsidR="001F15FC" w:rsidRPr="00CD6F4A">
        <w:rPr>
          <w:rFonts w:ascii="Arial" w:hAnsi="Arial"/>
          <w:sz w:val="22"/>
        </w:rPr>
        <w:t xml:space="preserve"> 2010</w:t>
      </w:r>
      <w:r w:rsidRPr="00CD6F4A">
        <w:rPr>
          <w:rFonts w:ascii="Arial" w:hAnsi="Arial"/>
          <w:sz w:val="22"/>
        </w:rPr>
        <w:t xml:space="preserve"> were as follows:-</w:t>
      </w:r>
    </w:p>
    <w:tbl>
      <w:tblPr>
        <w:tblW w:w="0" w:type="auto"/>
        <w:tblInd w:w="828" w:type="dxa"/>
        <w:tblLayout w:type="fixed"/>
        <w:tblLook w:val="0000"/>
      </w:tblPr>
      <w:tblGrid>
        <w:gridCol w:w="5040"/>
        <w:gridCol w:w="630"/>
        <w:gridCol w:w="270"/>
        <w:gridCol w:w="1620"/>
      </w:tblGrid>
      <w:tr w:rsidR="009C4456" w:rsidRPr="00CD6F4A">
        <w:tc>
          <w:tcPr>
            <w:tcW w:w="5040" w:type="dxa"/>
          </w:tcPr>
          <w:p w:rsidR="009C4456" w:rsidRPr="00CD6F4A" w:rsidRDefault="009C4456" w:rsidP="008D680C">
            <w:pPr>
              <w:jc w:val="both"/>
              <w:rPr>
                <w:rFonts w:ascii="Arial" w:hAnsi="Arial"/>
                <w:sz w:val="22"/>
              </w:rPr>
            </w:pPr>
          </w:p>
        </w:tc>
        <w:tc>
          <w:tcPr>
            <w:tcW w:w="630" w:type="dxa"/>
          </w:tcPr>
          <w:p w:rsidR="009C4456" w:rsidRPr="00CD6F4A" w:rsidRDefault="009C4456" w:rsidP="008D680C">
            <w:pPr>
              <w:tabs>
                <w:tab w:val="decimal" w:pos="1359"/>
              </w:tabs>
              <w:rPr>
                <w:rFonts w:ascii="Arial" w:hAnsi="Arial"/>
                <w:sz w:val="22"/>
              </w:rPr>
            </w:pPr>
          </w:p>
        </w:tc>
        <w:tc>
          <w:tcPr>
            <w:tcW w:w="270" w:type="dxa"/>
          </w:tcPr>
          <w:p w:rsidR="009C4456" w:rsidRPr="00CD6F4A" w:rsidRDefault="009C4456" w:rsidP="008D680C">
            <w:pPr>
              <w:jc w:val="center"/>
              <w:rPr>
                <w:rFonts w:ascii="Arial" w:hAnsi="Arial"/>
                <w:sz w:val="22"/>
              </w:rPr>
            </w:pPr>
          </w:p>
        </w:tc>
        <w:tc>
          <w:tcPr>
            <w:tcW w:w="1620" w:type="dxa"/>
          </w:tcPr>
          <w:p w:rsidR="009C4456" w:rsidRPr="00CD6F4A" w:rsidRDefault="009C4456" w:rsidP="008D680C">
            <w:pPr>
              <w:tabs>
                <w:tab w:val="decimal" w:pos="1269"/>
              </w:tabs>
              <w:rPr>
                <w:rFonts w:ascii="Arial" w:hAnsi="Arial"/>
                <w:b/>
                <w:sz w:val="22"/>
              </w:rPr>
            </w:pPr>
            <w:r w:rsidRPr="00CD6F4A">
              <w:rPr>
                <w:rFonts w:ascii="Arial" w:hAnsi="Arial"/>
                <w:b/>
                <w:sz w:val="22"/>
              </w:rPr>
              <w:t>RM’000</w:t>
            </w:r>
          </w:p>
        </w:tc>
      </w:tr>
      <w:tr w:rsidR="0064333B" w:rsidRPr="00CD6F4A">
        <w:trPr>
          <w:trHeight w:hRule="exact" w:val="317"/>
        </w:trPr>
        <w:tc>
          <w:tcPr>
            <w:tcW w:w="5040" w:type="dxa"/>
          </w:tcPr>
          <w:p w:rsidR="0064333B" w:rsidRPr="00CD6F4A" w:rsidRDefault="0064333B" w:rsidP="008D680C">
            <w:pPr>
              <w:spacing w:before="60" w:after="60"/>
              <w:jc w:val="both"/>
              <w:rPr>
                <w:rFonts w:ascii="Arial" w:hAnsi="Arial"/>
                <w:sz w:val="22"/>
              </w:rPr>
            </w:pPr>
            <w:r w:rsidRPr="00CD6F4A">
              <w:rPr>
                <w:rFonts w:ascii="Arial" w:hAnsi="Arial"/>
                <w:sz w:val="22"/>
              </w:rPr>
              <w:t>Property, plant and equipment</w:t>
            </w:r>
          </w:p>
        </w:tc>
        <w:tc>
          <w:tcPr>
            <w:tcW w:w="630" w:type="dxa"/>
          </w:tcPr>
          <w:p w:rsidR="0064333B" w:rsidRPr="00CD6F4A" w:rsidRDefault="0064333B" w:rsidP="008D680C">
            <w:pPr>
              <w:tabs>
                <w:tab w:val="decimal" w:pos="1359"/>
              </w:tabs>
              <w:spacing w:before="60" w:after="60"/>
              <w:rPr>
                <w:rFonts w:ascii="Arial" w:hAnsi="Arial"/>
                <w:sz w:val="22"/>
              </w:rPr>
            </w:pPr>
          </w:p>
        </w:tc>
        <w:tc>
          <w:tcPr>
            <w:tcW w:w="270" w:type="dxa"/>
          </w:tcPr>
          <w:p w:rsidR="0064333B" w:rsidRPr="00CD6F4A" w:rsidRDefault="0064333B" w:rsidP="008D680C">
            <w:pPr>
              <w:spacing w:before="60" w:after="60"/>
              <w:jc w:val="center"/>
              <w:rPr>
                <w:rFonts w:ascii="Arial" w:hAnsi="Arial"/>
                <w:sz w:val="22"/>
              </w:rPr>
            </w:pPr>
          </w:p>
        </w:tc>
        <w:tc>
          <w:tcPr>
            <w:tcW w:w="1620" w:type="dxa"/>
            <w:tcBorders>
              <w:bottom w:val="single" w:sz="4" w:space="0" w:color="auto"/>
            </w:tcBorders>
          </w:tcPr>
          <w:p w:rsidR="0064333B" w:rsidRPr="00CD6F4A" w:rsidRDefault="0064333B" w:rsidP="008D680C">
            <w:pPr>
              <w:tabs>
                <w:tab w:val="decimal" w:pos="1269"/>
              </w:tabs>
              <w:spacing w:before="60" w:after="60"/>
              <w:rPr>
                <w:rFonts w:ascii="Arial" w:hAnsi="Arial"/>
                <w:sz w:val="22"/>
              </w:rPr>
            </w:pPr>
          </w:p>
        </w:tc>
      </w:tr>
      <w:tr w:rsidR="009C4456" w:rsidRPr="00CD6F4A">
        <w:trPr>
          <w:trHeight w:hRule="exact" w:val="317"/>
        </w:trPr>
        <w:tc>
          <w:tcPr>
            <w:tcW w:w="5040" w:type="dxa"/>
          </w:tcPr>
          <w:p w:rsidR="009C4456" w:rsidRPr="00CD6F4A" w:rsidRDefault="0064333B" w:rsidP="008D680C">
            <w:pPr>
              <w:spacing w:before="60" w:after="60"/>
              <w:jc w:val="both"/>
              <w:rPr>
                <w:rFonts w:ascii="Arial" w:hAnsi="Arial"/>
                <w:sz w:val="22"/>
              </w:rPr>
            </w:pPr>
            <w:r w:rsidRPr="00CD6F4A">
              <w:rPr>
                <w:rFonts w:ascii="Arial" w:hAnsi="Arial"/>
                <w:sz w:val="22"/>
              </w:rPr>
              <w:t xml:space="preserve">- </w:t>
            </w:r>
            <w:r w:rsidR="009C4456" w:rsidRPr="00CD6F4A">
              <w:rPr>
                <w:rFonts w:ascii="Arial" w:hAnsi="Arial"/>
                <w:sz w:val="22"/>
              </w:rPr>
              <w:t>Approved and contracted for</w:t>
            </w:r>
          </w:p>
        </w:tc>
        <w:tc>
          <w:tcPr>
            <w:tcW w:w="630" w:type="dxa"/>
          </w:tcPr>
          <w:p w:rsidR="009C4456" w:rsidRPr="00CD6F4A" w:rsidRDefault="009C4456" w:rsidP="008D680C">
            <w:pPr>
              <w:tabs>
                <w:tab w:val="decimal" w:pos="1359"/>
              </w:tabs>
              <w:spacing w:before="60" w:after="60"/>
              <w:rPr>
                <w:rFonts w:ascii="Arial" w:hAnsi="Arial"/>
                <w:sz w:val="22"/>
              </w:rPr>
            </w:pPr>
          </w:p>
        </w:tc>
        <w:tc>
          <w:tcPr>
            <w:tcW w:w="270" w:type="dxa"/>
            <w:tcBorders>
              <w:right w:val="single" w:sz="4" w:space="0" w:color="auto"/>
            </w:tcBorders>
          </w:tcPr>
          <w:p w:rsidR="009C4456" w:rsidRPr="00CD6F4A" w:rsidRDefault="009C4456" w:rsidP="008D680C">
            <w:pPr>
              <w:spacing w:before="60" w:after="60"/>
              <w:jc w:val="center"/>
              <w:rPr>
                <w:rFonts w:ascii="Arial" w:hAnsi="Arial"/>
                <w:sz w:val="22"/>
              </w:rPr>
            </w:pPr>
          </w:p>
        </w:tc>
        <w:tc>
          <w:tcPr>
            <w:tcW w:w="1620" w:type="dxa"/>
            <w:tcBorders>
              <w:top w:val="single" w:sz="4" w:space="0" w:color="auto"/>
              <w:left w:val="single" w:sz="4" w:space="0" w:color="auto"/>
              <w:right w:val="single" w:sz="4" w:space="0" w:color="auto"/>
            </w:tcBorders>
          </w:tcPr>
          <w:p w:rsidR="009C4456" w:rsidRPr="00CD6F4A" w:rsidRDefault="00470061" w:rsidP="008D680C">
            <w:pPr>
              <w:tabs>
                <w:tab w:val="decimal" w:pos="1269"/>
              </w:tabs>
              <w:spacing w:before="60" w:after="60"/>
              <w:rPr>
                <w:rFonts w:ascii="Arial" w:hAnsi="Arial"/>
                <w:sz w:val="22"/>
              </w:rPr>
            </w:pPr>
            <w:r>
              <w:rPr>
                <w:rFonts w:ascii="Arial" w:hAnsi="Arial"/>
                <w:sz w:val="22"/>
              </w:rPr>
              <w:t>61,</w:t>
            </w:r>
            <w:r w:rsidR="00784A0E">
              <w:rPr>
                <w:rFonts w:ascii="Arial" w:hAnsi="Arial"/>
                <w:sz w:val="22"/>
              </w:rPr>
              <w:t>584</w:t>
            </w:r>
          </w:p>
        </w:tc>
      </w:tr>
      <w:tr w:rsidR="009C57B7" w:rsidRPr="00CD6F4A">
        <w:trPr>
          <w:trHeight w:hRule="exact" w:val="317"/>
        </w:trPr>
        <w:tc>
          <w:tcPr>
            <w:tcW w:w="5040" w:type="dxa"/>
          </w:tcPr>
          <w:p w:rsidR="009C57B7" w:rsidRPr="00CD6F4A" w:rsidRDefault="009C57B7" w:rsidP="00B872E7">
            <w:pPr>
              <w:spacing w:before="60" w:after="60"/>
              <w:jc w:val="both"/>
              <w:rPr>
                <w:rFonts w:ascii="Arial" w:hAnsi="Arial"/>
                <w:sz w:val="22"/>
              </w:rPr>
            </w:pPr>
            <w:r w:rsidRPr="00CD6F4A">
              <w:rPr>
                <w:rFonts w:ascii="Arial" w:hAnsi="Arial"/>
                <w:sz w:val="22"/>
              </w:rPr>
              <w:t>- Approved and not contracted for</w:t>
            </w:r>
          </w:p>
        </w:tc>
        <w:tc>
          <w:tcPr>
            <w:tcW w:w="630" w:type="dxa"/>
          </w:tcPr>
          <w:p w:rsidR="009C57B7" w:rsidRPr="00CD6F4A" w:rsidRDefault="009C57B7" w:rsidP="00B872E7">
            <w:pPr>
              <w:tabs>
                <w:tab w:val="decimal" w:pos="1359"/>
              </w:tabs>
              <w:spacing w:before="60" w:after="60"/>
              <w:rPr>
                <w:rFonts w:ascii="Arial" w:hAnsi="Arial"/>
                <w:sz w:val="22"/>
              </w:rPr>
            </w:pPr>
          </w:p>
        </w:tc>
        <w:tc>
          <w:tcPr>
            <w:tcW w:w="270" w:type="dxa"/>
            <w:tcBorders>
              <w:right w:val="single" w:sz="4" w:space="0" w:color="auto"/>
            </w:tcBorders>
          </w:tcPr>
          <w:p w:rsidR="009C57B7" w:rsidRPr="00CD6F4A" w:rsidRDefault="009C57B7" w:rsidP="00B872E7">
            <w:pPr>
              <w:spacing w:before="60" w:after="60"/>
              <w:jc w:val="center"/>
              <w:rPr>
                <w:rFonts w:ascii="Arial" w:hAnsi="Arial"/>
                <w:sz w:val="22"/>
              </w:rPr>
            </w:pPr>
          </w:p>
        </w:tc>
        <w:tc>
          <w:tcPr>
            <w:tcW w:w="1620" w:type="dxa"/>
            <w:tcBorders>
              <w:left w:val="single" w:sz="4" w:space="0" w:color="auto"/>
              <w:bottom w:val="single" w:sz="4" w:space="0" w:color="auto"/>
              <w:right w:val="single" w:sz="4" w:space="0" w:color="auto"/>
            </w:tcBorders>
          </w:tcPr>
          <w:p w:rsidR="009C57B7" w:rsidRPr="00CD6F4A" w:rsidRDefault="00470061" w:rsidP="00B872E7">
            <w:pPr>
              <w:tabs>
                <w:tab w:val="decimal" w:pos="1269"/>
              </w:tabs>
              <w:spacing w:before="60" w:after="60"/>
              <w:rPr>
                <w:rFonts w:ascii="Arial" w:hAnsi="Arial"/>
                <w:sz w:val="22"/>
              </w:rPr>
            </w:pPr>
            <w:r>
              <w:rPr>
                <w:rFonts w:ascii="Arial" w:hAnsi="Arial"/>
                <w:sz w:val="22"/>
              </w:rPr>
              <w:t>20</w:t>
            </w:r>
            <w:r w:rsidR="00784A0E">
              <w:rPr>
                <w:rFonts w:ascii="Arial" w:hAnsi="Arial"/>
                <w:sz w:val="22"/>
              </w:rPr>
              <w:t>6,922</w:t>
            </w:r>
          </w:p>
        </w:tc>
      </w:tr>
      <w:tr w:rsidR="009C57B7" w:rsidRPr="0083087C">
        <w:trPr>
          <w:trHeight w:hRule="exact" w:val="317"/>
        </w:trPr>
        <w:tc>
          <w:tcPr>
            <w:tcW w:w="5040" w:type="dxa"/>
          </w:tcPr>
          <w:p w:rsidR="009C57B7" w:rsidRPr="0083087C" w:rsidRDefault="009C57B7" w:rsidP="008D680C">
            <w:pPr>
              <w:spacing w:before="60" w:after="60"/>
              <w:jc w:val="both"/>
              <w:rPr>
                <w:rFonts w:ascii="Arial" w:hAnsi="Arial"/>
                <w:sz w:val="22"/>
                <w:szCs w:val="22"/>
              </w:rPr>
            </w:pPr>
          </w:p>
        </w:tc>
        <w:tc>
          <w:tcPr>
            <w:tcW w:w="630" w:type="dxa"/>
          </w:tcPr>
          <w:p w:rsidR="009C57B7" w:rsidRPr="0083087C" w:rsidRDefault="009C57B7" w:rsidP="008D680C">
            <w:pPr>
              <w:tabs>
                <w:tab w:val="decimal" w:pos="1359"/>
              </w:tabs>
              <w:spacing w:before="60" w:after="60"/>
              <w:rPr>
                <w:rFonts w:ascii="Arial" w:hAnsi="Arial"/>
                <w:sz w:val="22"/>
                <w:szCs w:val="22"/>
              </w:rPr>
            </w:pPr>
          </w:p>
        </w:tc>
        <w:tc>
          <w:tcPr>
            <w:tcW w:w="270" w:type="dxa"/>
          </w:tcPr>
          <w:p w:rsidR="009C57B7" w:rsidRPr="0083087C" w:rsidRDefault="009C57B7" w:rsidP="008D680C">
            <w:pPr>
              <w:spacing w:before="60" w:after="60"/>
              <w:jc w:val="center"/>
              <w:rPr>
                <w:rFonts w:ascii="Arial" w:hAnsi="Arial"/>
                <w:sz w:val="22"/>
                <w:szCs w:val="22"/>
              </w:rPr>
            </w:pPr>
          </w:p>
        </w:tc>
        <w:tc>
          <w:tcPr>
            <w:tcW w:w="1620" w:type="dxa"/>
            <w:tcBorders>
              <w:top w:val="single" w:sz="4" w:space="0" w:color="auto"/>
            </w:tcBorders>
          </w:tcPr>
          <w:p w:rsidR="009C57B7" w:rsidRPr="0083087C" w:rsidRDefault="00470061" w:rsidP="008D680C">
            <w:pPr>
              <w:tabs>
                <w:tab w:val="decimal" w:pos="1269"/>
              </w:tabs>
              <w:spacing w:before="60" w:after="60"/>
              <w:rPr>
                <w:rFonts w:ascii="Arial" w:hAnsi="Arial"/>
                <w:sz w:val="22"/>
                <w:szCs w:val="22"/>
              </w:rPr>
            </w:pPr>
            <w:r w:rsidRPr="0083087C">
              <w:rPr>
                <w:rFonts w:ascii="Arial" w:hAnsi="Arial"/>
                <w:sz w:val="22"/>
                <w:szCs w:val="22"/>
              </w:rPr>
              <w:t>26</w:t>
            </w:r>
            <w:r w:rsidR="00784A0E" w:rsidRPr="0083087C">
              <w:rPr>
                <w:rFonts w:ascii="Arial" w:hAnsi="Arial"/>
                <w:sz w:val="22"/>
                <w:szCs w:val="22"/>
              </w:rPr>
              <w:t>8,506</w:t>
            </w:r>
          </w:p>
        </w:tc>
      </w:tr>
      <w:tr w:rsidR="0052073C" w:rsidRPr="00CD6F4A">
        <w:trPr>
          <w:trHeight w:hRule="exact" w:val="317"/>
        </w:trPr>
        <w:tc>
          <w:tcPr>
            <w:tcW w:w="5040" w:type="dxa"/>
          </w:tcPr>
          <w:p w:rsidR="0052073C" w:rsidRPr="00CD6F4A" w:rsidRDefault="0052073C" w:rsidP="0052073C">
            <w:pPr>
              <w:spacing w:before="60" w:after="60"/>
              <w:jc w:val="both"/>
              <w:rPr>
                <w:rFonts w:ascii="Arial" w:hAnsi="Arial"/>
                <w:sz w:val="22"/>
              </w:rPr>
            </w:pPr>
            <w:r w:rsidRPr="00CD6F4A">
              <w:rPr>
                <w:rFonts w:ascii="Arial" w:hAnsi="Arial"/>
                <w:sz w:val="22"/>
              </w:rPr>
              <w:t>Acquisition of subsidiary</w:t>
            </w:r>
          </w:p>
        </w:tc>
        <w:tc>
          <w:tcPr>
            <w:tcW w:w="630" w:type="dxa"/>
          </w:tcPr>
          <w:p w:rsidR="0052073C" w:rsidRPr="00CD6F4A" w:rsidRDefault="0052073C" w:rsidP="0052073C">
            <w:pPr>
              <w:tabs>
                <w:tab w:val="decimal" w:pos="1359"/>
              </w:tabs>
              <w:spacing w:before="60" w:after="60"/>
              <w:rPr>
                <w:rFonts w:ascii="Arial" w:hAnsi="Arial"/>
                <w:sz w:val="22"/>
              </w:rPr>
            </w:pPr>
          </w:p>
        </w:tc>
        <w:tc>
          <w:tcPr>
            <w:tcW w:w="270" w:type="dxa"/>
          </w:tcPr>
          <w:p w:rsidR="0052073C" w:rsidRPr="00CD6F4A" w:rsidRDefault="0052073C" w:rsidP="0052073C">
            <w:pPr>
              <w:spacing w:before="60" w:after="60"/>
              <w:jc w:val="center"/>
              <w:rPr>
                <w:rFonts w:ascii="Arial" w:hAnsi="Arial"/>
                <w:sz w:val="22"/>
              </w:rPr>
            </w:pPr>
          </w:p>
        </w:tc>
        <w:tc>
          <w:tcPr>
            <w:tcW w:w="1620" w:type="dxa"/>
          </w:tcPr>
          <w:p w:rsidR="0052073C" w:rsidRPr="00CD6F4A" w:rsidRDefault="0052073C" w:rsidP="0052073C">
            <w:pPr>
              <w:tabs>
                <w:tab w:val="decimal" w:pos="1269"/>
              </w:tabs>
              <w:spacing w:before="60" w:after="60"/>
              <w:rPr>
                <w:rFonts w:ascii="Arial" w:hAnsi="Arial"/>
                <w:sz w:val="22"/>
              </w:rPr>
            </w:pPr>
          </w:p>
        </w:tc>
      </w:tr>
      <w:tr w:rsidR="0052073C" w:rsidRPr="00CD6F4A">
        <w:trPr>
          <w:trHeight w:hRule="exact" w:val="317"/>
        </w:trPr>
        <w:tc>
          <w:tcPr>
            <w:tcW w:w="5040" w:type="dxa"/>
          </w:tcPr>
          <w:p w:rsidR="0052073C" w:rsidRPr="00CD6F4A" w:rsidRDefault="0052073C" w:rsidP="0052073C">
            <w:pPr>
              <w:spacing w:before="60" w:after="60"/>
              <w:jc w:val="both"/>
              <w:rPr>
                <w:rFonts w:ascii="Arial" w:hAnsi="Arial"/>
                <w:sz w:val="22"/>
              </w:rPr>
            </w:pPr>
            <w:r w:rsidRPr="00CD6F4A">
              <w:rPr>
                <w:rFonts w:ascii="Arial" w:hAnsi="Arial"/>
                <w:sz w:val="22"/>
              </w:rPr>
              <w:t>- Approved and contracted for</w:t>
            </w:r>
          </w:p>
        </w:tc>
        <w:tc>
          <w:tcPr>
            <w:tcW w:w="630" w:type="dxa"/>
          </w:tcPr>
          <w:p w:rsidR="0052073C" w:rsidRPr="00CD6F4A" w:rsidRDefault="0052073C" w:rsidP="0052073C">
            <w:pPr>
              <w:tabs>
                <w:tab w:val="decimal" w:pos="1359"/>
              </w:tabs>
              <w:spacing w:before="60" w:after="60"/>
              <w:rPr>
                <w:rFonts w:ascii="Arial" w:hAnsi="Arial"/>
                <w:sz w:val="22"/>
              </w:rPr>
            </w:pPr>
          </w:p>
        </w:tc>
        <w:tc>
          <w:tcPr>
            <w:tcW w:w="270" w:type="dxa"/>
          </w:tcPr>
          <w:p w:rsidR="0052073C" w:rsidRPr="00CD6F4A" w:rsidRDefault="0052073C" w:rsidP="0052073C">
            <w:pPr>
              <w:spacing w:before="60" w:after="60"/>
              <w:jc w:val="center"/>
              <w:rPr>
                <w:rFonts w:ascii="Arial" w:hAnsi="Arial"/>
                <w:sz w:val="22"/>
              </w:rPr>
            </w:pPr>
          </w:p>
        </w:tc>
        <w:tc>
          <w:tcPr>
            <w:tcW w:w="1620" w:type="dxa"/>
          </w:tcPr>
          <w:p w:rsidR="0052073C" w:rsidRPr="00CD6F4A" w:rsidRDefault="00B55705" w:rsidP="0052073C">
            <w:pPr>
              <w:tabs>
                <w:tab w:val="decimal" w:pos="1269"/>
              </w:tabs>
              <w:spacing w:before="60" w:after="60"/>
              <w:rPr>
                <w:rFonts w:ascii="Arial" w:hAnsi="Arial"/>
                <w:sz w:val="22"/>
              </w:rPr>
            </w:pPr>
            <w:r w:rsidRPr="00CD6F4A">
              <w:rPr>
                <w:rFonts w:ascii="Arial" w:hAnsi="Arial"/>
                <w:sz w:val="22"/>
              </w:rPr>
              <w:t>150,000</w:t>
            </w:r>
          </w:p>
        </w:tc>
      </w:tr>
      <w:tr w:rsidR="0052073C" w:rsidRPr="0083087C">
        <w:trPr>
          <w:trHeight w:hRule="exact" w:val="157"/>
        </w:trPr>
        <w:tc>
          <w:tcPr>
            <w:tcW w:w="5040" w:type="dxa"/>
          </w:tcPr>
          <w:p w:rsidR="0052073C" w:rsidRPr="0083087C" w:rsidRDefault="0052073C" w:rsidP="008D680C">
            <w:pPr>
              <w:spacing w:before="60" w:after="60"/>
              <w:jc w:val="both"/>
              <w:rPr>
                <w:rFonts w:ascii="Arial" w:hAnsi="Arial"/>
                <w:sz w:val="8"/>
                <w:szCs w:val="8"/>
              </w:rPr>
            </w:pPr>
          </w:p>
        </w:tc>
        <w:tc>
          <w:tcPr>
            <w:tcW w:w="630" w:type="dxa"/>
          </w:tcPr>
          <w:p w:rsidR="0052073C" w:rsidRPr="0083087C" w:rsidRDefault="0052073C" w:rsidP="008D680C">
            <w:pPr>
              <w:tabs>
                <w:tab w:val="decimal" w:pos="1359"/>
              </w:tabs>
              <w:spacing w:before="60" w:after="60"/>
              <w:rPr>
                <w:rFonts w:ascii="Arial" w:hAnsi="Arial"/>
                <w:sz w:val="8"/>
                <w:szCs w:val="8"/>
              </w:rPr>
            </w:pPr>
          </w:p>
        </w:tc>
        <w:tc>
          <w:tcPr>
            <w:tcW w:w="270" w:type="dxa"/>
          </w:tcPr>
          <w:p w:rsidR="0052073C" w:rsidRPr="0083087C" w:rsidRDefault="0052073C" w:rsidP="008D680C">
            <w:pPr>
              <w:spacing w:before="60" w:after="60"/>
              <w:jc w:val="center"/>
              <w:rPr>
                <w:rFonts w:ascii="Arial" w:hAnsi="Arial"/>
                <w:sz w:val="8"/>
                <w:szCs w:val="8"/>
              </w:rPr>
            </w:pPr>
          </w:p>
        </w:tc>
        <w:tc>
          <w:tcPr>
            <w:tcW w:w="1620" w:type="dxa"/>
          </w:tcPr>
          <w:p w:rsidR="0052073C" w:rsidRPr="0083087C" w:rsidRDefault="0052073C" w:rsidP="008D680C">
            <w:pPr>
              <w:tabs>
                <w:tab w:val="decimal" w:pos="1269"/>
              </w:tabs>
              <w:spacing w:before="60" w:after="60"/>
              <w:rPr>
                <w:rFonts w:ascii="Arial" w:hAnsi="Arial"/>
                <w:sz w:val="8"/>
                <w:szCs w:val="8"/>
              </w:rPr>
            </w:pPr>
          </w:p>
        </w:tc>
      </w:tr>
      <w:tr w:rsidR="009C57B7" w:rsidRPr="00CD6F4A">
        <w:trPr>
          <w:trHeight w:hRule="exact" w:val="317"/>
        </w:trPr>
        <w:tc>
          <w:tcPr>
            <w:tcW w:w="5040" w:type="dxa"/>
          </w:tcPr>
          <w:p w:rsidR="009C57B7" w:rsidRPr="00CD6F4A" w:rsidRDefault="0052073C" w:rsidP="008D680C">
            <w:pPr>
              <w:spacing w:before="60" w:after="60"/>
              <w:jc w:val="both"/>
              <w:rPr>
                <w:rFonts w:ascii="Arial" w:hAnsi="Arial"/>
                <w:sz w:val="22"/>
              </w:rPr>
            </w:pPr>
            <w:r w:rsidRPr="00CD6F4A">
              <w:rPr>
                <w:rFonts w:ascii="Arial" w:hAnsi="Arial"/>
                <w:sz w:val="22"/>
              </w:rPr>
              <w:t>Additional investment in jointly controlled entity</w:t>
            </w:r>
          </w:p>
        </w:tc>
        <w:tc>
          <w:tcPr>
            <w:tcW w:w="630" w:type="dxa"/>
          </w:tcPr>
          <w:p w:rsidR="009C57B7" w:rsidRPr="00CD6F4A" w:rsidRDefault="009C57B7" w:rsidP="008D680C">
            <w:pPr>
              <w:tabs>
                <w:tab w:val="decimal" w:pos="1359"/>
              </w:tabs>
              <w:spacing w:before="60" w:after="60"/>
              <w:rPr>
                <w:rFonts w:ascii="Arial" w:hAnsi="Arial"/>
                <w:sz w:val="22"/>
              </w:rPr>
            </w:pPr>
          </w:p>
        </w:tc>
        <w:tc>
          <w:tcPr>
            <w:tcW w:w="270" w:type="dxa"/>
          </w:tcPr>
          <w:p w:rsidR="009C57B7" w:rsidRPr="00CD6F4A" w:rsidRDefault="009C57B7" w:rsidP="008D680C">
            <w:pPr>
              <w:spacing w:before="60" w:after="60"/>
              <w:jc w:val="center"/>
              <w:rPr>
                <w:rFonts w:ascii="Arial" w:hAnsi="Arial"/>
                <w:sz w:val="22"/>
              </w:rPr>
            </w:pPr>
          </w:p>
        </w:tc>
        <w:tc>
          <w:tcPr>
            <w:tcW w:w="1620" w:type="dxa"/>
          </w:tcPr>
          <w:p w:rsidR="009C57B7" w:rsidRPr="00CD6F4A" w:rsidRDefault="009C57B7" w:rsidP="008D680C">
            <w:pPr>
              <w:tabs>
                <w:tab w:val="decimal" w:pos="1269"/>
              </w:tabs>
              <w:spacing w:before="60" w:after="60"/>
              <w:rPr>
                <w:rFonts w:ascii="Arial" w:hAnsi="Arial"/>
                <w:sz w:val="22"/>
              </w:rPr>
            </w:pPr>
          </w:p>
        </w:tc>
      </w:tr>
      <w:tr w:rsidR="009C57B7" w:rsidRPr="00CD6F4A">
        <w:trPr>
          <w:trHeight w:hRule="exact" w:val="317"/>
        </w:trPr>
        <w:tc>
          <w:tcPr>
            <w:tcW w:w="5040" w:type="dxa"/>
          </w:tcPr>
          <w:p w:rsidR="009C57B7" w:rsidRPr="00CD6F4A" w:rsidRDefault="009C57B7" w:rsidP="009C57B7">
            <w:pPr>
              <w:spacing w:before="60" w:after="60"/>
              <w:jc w:val="both"/>
              <w:rPr>
                <w:rFonts w:ascii="Arial" w:hAnsi="Arial"/>
                <w:sz w:val="22"/>
              </w:rPr>
            </w:pPr>
            <w:r w:rsidRPr="00CD6F4A">
              <w:rPr>
                <w:rFonts w:ascii="Arial" w:hAnsi="Arial"/>
                <w:sz w:val="22"/>
              </w:rPr>
              <w:t>- Approved and contracted for</w:t>
            </w:r>
          </w:p>
        </w:tc>
        <w:tc>
          <w:tcPr>
            <w:tcW w:w="630" w:type="dxa"/>
          </w:tcPr>
          <w:p w:rsidR="009C57B7" w:rsidRPr="00CD6F4A" w:rsidRDefault="009C57B7" w:rsidP="008D680C">
            <w:pPr>
              <w:tabs>
                <w:tab w:val="decimal" w:pos="1359"/>
              </w:tabs>
              <w:spacing w:before="60" w:after="60"/>
              <w:rPr>
                <w:rFonts w:ascii="Arial" w:hAnsi="Arial"/>
                <w:sz w:val="22"/>
              </w:rPr>
            </w:pPr>
          </w:p>
        </w:tc>
        <w:tc>
          <w:tcPr>
            <w:tcW w:w="270" w:type="dxa"/>
          </w:tcPr>
          <w:p w:rsidR="009C57B7" w:rsidRPr="00CD6F4A" w:rsidRDefault="009C57B7" w:rsidP="008D680C">
            <w:pPr>
              <w:spacing w:before="60" w:after="60"/>
              <w:jc w:val="center"/>
              <w:rPr>
                <w:rFonts w:ascii="Arial" w:hAnsi="Arial"/>
                <w:sz w:val="22"/>
              </w:rPr>
            </w:pPr>
          </w:p>
        </w:tc>
        <w:tc>
          <w:tcPr>
            <w:tcW w:w="1620" w:type="dxa"/>
          </w:tcPr>
          <w:p w:rsidR="009C57B7" w:rsidRPr="00CD6F4A" w:rsidRDefault="00B55705" w:rsidP="008D680C">
            <w:pPr>
              <w:tabs>
                <w:tab w:val="decimal" w:pos="1269"/>
              </w:tabs>
              <w:spacing w:before="60" w:after="60"/>
              <w:rPr>
                <w:rFonts w:ascii="Arial" w:hAnsi="Arial"/>
                <w:sz w:val="22"/>
              </w:rPr>
            </w:pPr>
            <w:r w:rsidRPr="00CD6F4A">
              <w:rPr>
                <w:rFonts w:ascii="Arial" w:hAnsi="Arial"/>
                <w:sz w:val="22"/>
              </w:rPr>
              <w:t>5,000</w:t>
            </w:r>
          </w:p>
        </w:tc>
      </w:tr>
      <w:tr w:rsidR="009C57B7" w:rsidRPr="00CD6F4A">
        <w:trPr>
          <w:trHeight w:hRule="exact" w:val="317"/>
        </w:trPr>
        <w:tc>
          <w:tcPr>
            <w:tcW w:w="5040" w:type="dxa"/>
          </w:tcPr>
          <w:p w:rsidR="009C57B7" w:rsidRPr="00CD6F4A" w:rsidRDefault="009C57B7" w:rsidP="008D680C">
            <w:pPr>
              <w:spacing w:before="60" w:after="60"/>
              <w:jc w:val="both"/>
              <w:rPr>
                <w:rFonts w:ascii="Arial" w:hAnsi="Arial"/>
                <w:b/>
                <w:sz w:val="22"/>
              </w:rPr>
            </w:pPr>
          </w:p>
        </w:tc>
        <w:tc>
          <w:tcPr>
            <w:tcW w:w="630" w:type="dxa"/>
          </w:tcPr>
          <w:p w:rsidR="009C57B7" w:rsidRPr="00CD6F4A" w:rsidRDefault="009C57B7" w:rsidP="008D680C">
            <w:pPr>
              <w:tabs>
                <w:tab w:val="decimal" w:pos="1359"/>
              </w:tabs>
              <w:spacing w:before="60" w:after="60"/>
              <w:rPr>
                <w:rFonts w:ascii="Arial" w:hAnsi="Arial"/>
                <w:b/>
                <w:sz w:val="22"/>
              </w:rPr>
            </w:pPr>
          </w:p>
        </w:tc>
        <w:tc>
          <w:tcPr>
            <w:tcW w:w="270" w:type="dxa"/>
          </w:tcPr>
          <w:p w:rsidR="009C57B7" w:rsidRPr="00CD6F4A" w:rsidRDefault="009C57B7" w:rsidP="008D680C">
            <w:pPr>
              <w:spacing w:before="60" w:after="60"/>
              <w:jc w:val="center"/>
              <w:rPr>
                <w:rFonts w:ascii="Arial" w:hAnsi="Arial"/>
                <w:b/>
                <w:sz w:val="22"/>
              </w:rPr>
            </w:pPr>
          </w:p>
        </w:tc>
        <w:tc>
          <w:tcPr>
            <w:tcW w:w="1620" w:type="dxa"/>
            <w:tcBorders>
              <w:top w:val="single" w:sz="6" w:space="0" w:color="auto"/>
              <w:bottom w:val="single" w:sz="12" w:space="0" w:color="auto"/>
            </w:tcBorders>
          </w:tcPr>
          <w:p w:rsidR="009C57B7" w:rsidRPr="00CD6F4A" w:rsidRDefault="00D50166" w:rsidP="009C57B7">
            <w:pPr>
              <w:tabs>
                <w:tab w:val="decimal" w:pos="1269"/>
              </w:tabs>
              <w:spacing w:before="60" w:after="60"/>
              <w:rPr>
                <w:rFonts w:ascii="Arial" w:hAnsi="Arial"/>
                <w:b/>
                <w:sz w:val="22"/>
              </w:rPr>
            </w:pPr>
            <w:r>
              <w:rPr>
                <w:rFonts w:ascii="Arial" w:hAnsi="Arial"/>
                <w:b/>
                <w:sz w:val="22"/>
              </w:rPr>
              <w:t>423,506</w:t>
            </w:r>
          </w:p>
        </w:tc>
      </w:tr>
    </w:tbl>
    <w:p w:rsidR="003D17E4" w:rsidRDefault="003D17E4" w:rsidP="009C4456">
      <w:pPr>
        <w:jc w:val="both"/>
        <w:rPr>
          <w:rFonts w:ascii="Arial" w:hAnsi="Arial"/>
          <w:sz w:val="22"/>
        </w:rPr>
      </w:pPr>
    </w:p>
    <w:p w:rsidR="0083087C" w:rsidRPr="00CD6F4A" w:rsidRDefault="0083087C" w:rsidP="009C4456">
      <w:pPr>
        <w:jc w:val="both"/>
        <w:rPr>
          <w:rFonts w:ascii="Arial" w:hAnsi="Arial"/>
          <w:sz w:val="22"/>
        </w:rPr>
      </w:pPr>
    </w:p>
    <w:p w:rsidR="002F72DF" w:rsidRPr="00CD6F4A" w:rsidRDefault="002F72DF" w:rsidP="002F72DF">
      <w:pPr>
        <w:pStyle w:val="BodyTextIndent"/>
        <w:numPr>
          <w:ilvl w:val="0"/>
          <w:numId w:val="19"/>
        </w:numPr>
        <w:tabs>
          <w:tab w:val="clear" w:pos="960"/>
        </w:tabs>
        <w:ind w:left="720" w:hanging="720"/>
        <w:rPr>
          <w:b/>
          <w:sz w:val="22"/>
        </w:rPr>
      </w:pPr>
      <w:r w:rsidRPr="00CD6F4A">
        <w:rPr>
          <w:b/>
          <w:sz w:val="22"/>
        </w:rPr>
        <w:t xml:space="preserve">Contingent </w:t>
      </w:r>
      <w:r w:rsidR="00A55AE0" w:rsidRPr="00CD6F4A">
        <w:rPr>
          <w:b/>
          <w:sz w:val="22"/>
        </w:rPr>
        <w:t>L</w:t>
      </w:r>
      <w:r w:rsidRPr="00CD6F4A">
        <w:rPr>
          <w:b/>
          <w:sz w:val="22"/>
        </w:rPr>
        <w:t>iabilities</w:t>
      </w:r>
      <w:r w:rsidR="00B366F6" w:rsidRPr="00CD6F4A">
        <w:rPr>
          <w:b/>
          <w:sz w:val="22"/>
        </w:rPr>
        <w:t xml:space="preserve"> and Contingent Assets</w:t>
      </w:r>
    </w:p>
    <w:p w:rsidR="002F72DF" w:rsidRPr="00CD6F4A" w:rsidRDefault="002F72DF">
      <w:pPr>
        <w:ind w:left="720"/>
        <w:jc w:val="both"/>
        <w:rPr>
          <w:rFonts w:ascii="Arial" w:hAnsi="Arial"/>
          <w:sz w:val="22"/>
        </w:rPr>
      </w:pPr>
      <w:r w:rsidRPr="00CD6F4A">
        <w:rPr>
          <w:rFonts w:ascii="Arial" w:hAnsi="Arial"/>
          <w:sz w:val="22"/>
        </w:rPr>
        <w:tab/>
      </w:r>
      <w:r w:rsidRPr="00CD6F4A">
        <w:rPr>
          <w:rFonts w:ascii="Arial" w:hAnsi="Arial"/>
          <w:sz w:val="22"/>
        </w:rPr>
        <w:tab/>
      </w:r>
      <w:r w:rsidRPr="00CD6F4A">
        <w:rPr>
          <w:rFonts w:ascii="Arial" w:hAnsi="Arial"/>
          <w:sz w:val="22"/>
        </w:rPr>
        <w:tab/>
      </w:r>
      <w:r w:rsidRPr="00CD6F4A">
        <w:rPr>
          <w:rFonts w:ascii="Arial" w:hAnsi="Arial"/>
          <w:sz w:val="22"/>
        </w:rPr>
        <w:tab/>
      </w:r>
      <w:r w:rsidRPr="00CD6F4A">
        <w:rPr>
          <w:rFonts w:ascii="Arial" w:hAnsi="Arial"/>
          <w:sz w:val="22"/>
        </w:rPr>
        <w:tab/>
      </w:r>
      <w:r w:rsidRPr="00CD6F4A">
        <w:rPr>
          <w:rFonts w:ascii="Arial" w:hAnsi="Arial"/>
          <w:sz w:val="22"/>
        </w:rPr>
        <w:tab/>
      </w:r>
    </w:p>
    <w:p w:rsidR="00B366F6" w:rsidRPr="00CD6F4A" w:rsidRDefault="00B366F6" w:rsidP="00B366F6">
      <w:pPr>
        <w:ind w:left="720"/>
        <w:jc w:val="both"/>
        <w:rPr>
          <w:rFonts w:ascii="Arial" w:hAnsi="Arial"/>
          <w:sz w:val="22"/>
        </w:rPr>
      </w:pPr>
      <w:r w:rsidRPr="00CD6F4A">
        <w:rPr>
          <w:rFonts w:ascii="Arial" w:hAnsi="Arial"/>
          <w:sz w:val="22"/>
        </w:rPr>
        <w:t xml:space="preserve">There </w:t>
      </w:r>
      <w:r w:rsidR="000370FF" w:rsidRPr="00CD6F4A">
        <w:rPr>
          <w:rFonts w:ascii="Arial" w:hAnsi="Arial"/>
          <w:sz w:val="22"/>
        </w:rPr>
        <w:t>was</w:t>
      </w:r>
      <w:r w:rsidR="00465179" w:rsidRPr="00CD6F4A">
        <w:rPr>
          <w:rFonts w:ascii="Arial" w:hAnsi="Arial"/>
          <w:sz w:val="22"/>
        </w:rPr>
        <w:t xml:space="preserve"> </w:t>
      </w:r>
      <w:r w:rsidR="003A2AD8" w:rsidRPr="00CD6F4A">
        <w:rPr>
          <w:rFonts w:ascii="Arial" w:hAnsi="Arial"/>
          <w:sz w:val="22"/>
        </w:rPr>
        <w:t xml:space="preserve">no contingent </w:t>
      </w:r>
      <w:r w:rsidR="009B058F" w:rsidRPr="00CD6F4A">
        <w:rPr>
          <w:rFonts w:ascii="Arial" w:hAnsi="Arial"/>
          <w:sz w:val="22"/>
        </w:rPr>
        <w:t>liabilit</w:t>
      </w:r>
      <w:r w:rsidR="000370FF" w:rsidRPr="00CD6F4A">
        <w:rPr>
          <w:rFonts w:ascii="Arial" w:hAnsi="Arial"/>
          <w:sz w:val="22"/>
        </w:rPr>
        <w:t>y</w:t>
      </w:r>
      <w:r w:rsidR="009B058F" w:rsidRPr="00CD6F4A">
        <w:rPr>
          <w:rFonts w:ascii="Arial" w:hAnsi="Arial"/>
          <w:sz w:val="22"/>
        </w:rPr>
        <w:t xml:space="preserve"> </w:t>
      </w:r>
      <w:r w:rsidR="00F469F4" w:rsidRPr="00CD6F4A">
        <w:rPr>
          <w:rFonts w:ascii="Arial" w:hAnsi="Arial"/>
          <w:sz w:val="22"/>
        </w:rPr>
        <w:t>or</w:t>
      </w:r>
      <w:r w:rsidR="009B058F" w:rsidRPr="00CD6F4A">
        <w:rPr>
          <w:rFonts w:ascii="Arial" w:hAnsi="Arial"/>
          <w:sz w:val="22"/>
        </w:rPr>
        <w:t xml:space="preserve"> </w:t>
      </w:r>
      <w:r w:rsidR="006045AB" w:rsidRPr="00CD6F4A">
        <w:rPr>
          <w:rFonts w:ascii="Arial" w:hAnsi="Arial"/>
          <w:sz w:val="22"/>
        </w:rPr>
        <w:t xml:space="preserve">contingent </w:t>
      </w:r>
      <w:r w:rsidR="003A2AD8" w:rsidRPr="00CD6F4A">
        <w:rPr>
          <w:rFonts w:ascii="Arial" w:hAnsi="Arial"/>
          <w:sz w:val="22"/>
        </w:rPr>
        <w:t xml:space="preserve">asset </w:t>
      </w:r>
      <w:r w:rsidRPr="00CD6F4A">
        <w:rPr>
          <w:rFonts w:ascii="Arial" w:hAnsi="Arial"/>
          <w:sz w:val="22"/>
        </w:rPr>
        <w:t xml:space="preserve">as at </w:t>
      </w:r>
      <w:r w:rsidR="008A3AE1" w:rsidRPr="00CD6F4A">
        <w:rPr>
          <w:rFonts w:ascii="Arial" w:hAnsi="Arial"/>
          <w:sz w:val="22"/>
        </w:rPr>
        <w:t>3</w:t>
      </w:r>
      <w:r w:rsidR="00057CB1">
        <w:rPr>
          <w:rFonts w:ascii="Arial" w:hAnsi="Arial"/>
          <w:sz w:val="22"/>
        </w:rPr>
        <w:t>0 June</w:t>
      </w:r>
      <w:r w:rsidR="0053672E" w:rsidRPr="00CD6F4A">
        <w:rPr>
          <w:rFonts w:ascii="Arial" w:hAnsi="Arial"/>
          <w:sz w:val="22"/>
        </w:rPr>
        <w:t xml:space="preserve"> 2010</w:t>
      </w:r>
      <w:r w:rsidRPr="00CD6F4A">
        <w:rPr>
          <w:rFonts w:ascii="Arial" w:hAnsi="Arial"/>
          <w:sz w:val="22"/>
        </w:rPr>
        <w:t>.</w:t>
      </w:r>
    </w:p>
    <w:p w:rsidR="004F18B2" w:rsidRPr="00CD6F4A" w:rsidRDefault="004F18B2">
      <w:pPr>
        <w:rPr>
          <w:rFonts w:ascii="Arial" w:hAnsi="Arial"/>
          <w:b/>
          <w:sz w:val="22"/>
          <w:u w:val="single"/>
        </w:rPr>
      </w:pPr>
    </w:p>
    <w:p w:rsidR="002F72DF" w:rsidRPr="00CD6F4A" w:rsidRDefault="0052073C">
      <w:pPr>
        <w:rPr>
          <w:rFonts w:ascii="Arial" w:hAnsi="Arial"/>
          <w:b/>
          <w:sz w:val="22"/>
          <w:u w:val="single"/>
        </w:rPr>
      </w:pPr>
      <w:r w:rsidRPr="00CD6F4A">
        <w:rPr>
          <w:rFonts w:ascii="Arial" w:hAnsi="Arial"/>
          <w:b/>
          <w:sz w:val="22"/>
          <w:u w:val="single"/>
        </w:rPr>
        <w:br w:type="page"/>
      </w:r>
    </w:p>
    <w:p w:rsidR="002F72DF" w:rsidRPr="00CD6F4A" w:rsidRDefault="002F72DF" w:rsidP="00984ED3">
      <w:pPr>
        <w:numPr>
          <w:ilvl w:val="0"/>
          <w:numId w:val="21"/>
        </w:numPr>
        <w:tabs>
          <w:tab w:val="clear" w:pos="1080"/>
        </w:tabs>
        <w:ind w:left="720"/>
        <w:rPr>
          <w:rFonts w:ascii="Arial" w:hAnsi="Arial"/>
          <w:b/>
          <w:sz w:val="22"/>
        </w:rPr>
      </w:pPr>
      <w:r w:rsidRPr="00CD6F4A">
        <w:rPr>
          <w:rFonts w:ascii="Arial" w:hAnsi="Arial"/>
          <w:b/>
          <w:sz w:val="22"/>
          <w:u w:val="single"/>
        </w:rPr>
        <w:lastRenderedPageBreak/>
        <w:t>ADDITIONAL INFORMATION REQUIRED BY THE LISTING REQUIREMENTS OF</w:t>
      </w:r>
      <w:r w:rsidR="00984ED3" w:rsidRPr="00CD6F4A">
        <w:rPr>
          <w:rFonts w:ascii="Arial" w:hAnsi="Arial"/>
          <w:b/>
          <w:sz w:val="22"/>
          <w:u w:val="single"/>
        </w:rPr>
        <w:t xml:space="preserve"> </w:t>
      </w:r>
      <w:smartTag w:uri="urn:schemas-microsoft-com:office:smarttags" w:element="place">
        <w:smartTag w:uri="urn:schemas-microsoft-com:office:smarttags" w:element="City">
          <w:r w:rsidRPr="00CD6F4A">
            <w:rPr>
              <w:rFonts w:ascii="Arial" w:hAnsi="Arial"/>
              <w:b/>
              <w:sz w:val="22"/>
              <w:u w:val="single"/>
            </w:rPr>
            <w:t>BURSA</w:t>
          </w:r>
        </w:smartTag>
      </w:smartTag>
      <w:r w:rsidRPr="00CD6F4A">
        <w:rPr>
          <w:rFonts w:ascii="Arial" w:hAnsi="Arial"/>
          <w:b/>
          <w:sz w:val="22"/>
          <w:u w:val="single"/>
        </w:rPr>
        <w:t xml:space="preserve"> SECURITIES</w:t>
      </w:r>
    </w:p>
    <w:p w:rsidR="002F72DF" w:rsidRPr="00CD6F4A" w:rsidRDefault="002F72DF">
      <w:pPr>
        <w:rPr>
          <w:rFonts w:ascii="Arial" w:hAnsi="Arial"/>
          <w:sz w:val="22"/>
        </w:rPr>
      </w:pPr>
    </w:p>
    <w:p w:rsidR="002F72DF" w:rsidRPr="00CD6F4A" w:rsidRDefault="002F72DF">
      <w:pPr>
        <w:jc w:val="both"/>
        <w:rPr>
          <w:rFonts w:ascii="Arial" w:hAnsi="Arial"/>
          <w:b/>
          <w:sz w:val="22"/>
        </w:rPr>
      </w:pPr>
    </w:p>
    <w:p w:rsidR="002F72DF" w:rsidRPr="00CD6F4A" w:rsidRDefault="002F72DF" w:rsidP="00DF49EA">
      <w:pPr>
        <w:numPr>
          <w:ilvl w:val="0"/>
          <w:numId w:val="45"/>
        </w:numPr>
        <w:tabs>
          <w:tab w:val="clear" w:pos="960"/>
        </w:tabs>
        <w:ind w:left="720" w:hanging="720"/>
        <w:jc w:val="both"/>
        <w:rPr>
          <w:rFonts w:ascii="Arial" w:hAnsi="Arial"/>
          <w:b/>
          <w:sz w:val="22"/>
        </w:rPr>
      </w:pPr>
      <w:r w:rsidRPr="00CD6F4A">
        <w:rPr>
          <w:rFonts w:ascii="Arial" w:hAnsi="Arial"/>
          <w:b/>
          <w:sz w:val="22"/>
        </w:rPr>
        <w:t xml:space="preserve">Review of </w:t>
      </w:r>
      <w:r w:rsidR="00477EB1" w:rsidRPr="00CD6F4A">
        <w:rPr>
          <w:rFonts w:ascii="Arial" w:hAnsi="Arial"/>
          <w:b/>
          <w:sz w:val="22"/>
        </w:rPr>
        <w:t>P</w:t>
      </w:r>
      <w:r w:rsidRPr="00CD6F4A">
        <w:rPr>
          <w:rFonts w:ascii="Arial" w:hAnsi="Arial"/>
          <w:b/>
          <w:sz w:val="22"/>
        </w:rPr>
        <w:t>erformance</w:t>
      </w:r>
    </w:p>
    <w:p w:rsidR="002F72DF" w:rsidRPr="00CD6F4A" w:rsidRDefault="002F72DF">
      <w:pPr>
        <w:tabs>
          <w:tab w:val="left" w:pos="1080"/>
        </w:tabs>
        <w:ind w:left="360"/>
        <w:jc w:val="both"/>
        <w:rPr>
          <w:rFonts w:ascii="Arial" w:hAnsi="Arial"/>
          <w:b/>
          <w:sz w:val="22"/>
        </w:rPr>
      </w:pPr>
    </w:p>
    <w:p w:rsidR="006565E7" w:rsidRDefault="00902DF4" w:rsidP="00D51ADF">
      <w:pPr>
        <w:pStyle w:val="BodyTextIndent3"/>
      </w:pPr>
      <w:r w:rsidRPr="00CD6F4A">
        <w:t xml:space="preserve">For the </w:t>
      </w:r>
      <w:r w:rsidR="00692BEA" w:rsidRPr="00CD6F4A">
        <w:t>quarter under review</w:t>
      </w:r>
      <w:r w:rsidRPr="00CD6F4A">
        <w:t xml:space="preserve">, </w:t>
      </w:r>
      <w:r w:rsidR="00D26D8B" w:rsidRPr="00CD6F4A">
        <w:t>the Gr</w:t>
      </w:r>
      <w:r w:rsidR="00334A4B" w:rsidRPr="00CD6F4A">
        <w:t>oup</w:t>
      </w:r>
      <w:r w:rsidR="003225DF" w:rsidRPr="00CD6F4A">
        <w:t xml:space="preserve">’s revenue </w:t>
      </w:r>
      <w:r w:rsidR="00AE4A29" w:rsidRPr="00CD6F4A">
        <w:t>in</w:t>
      </w:r>
      <w:r w:rsidR="007C078D" w:rsidRPr="00CD6F4A">
        <w:t xml:space="preserve">creased </w:t>
      </w:r>
      <w:r w:rsidR="007F6A37" w:rsidRPr="00CD6F4A">
        <w:t>to</w:t>
      </w:r>
      <w:r w:rsidR="003225DF" w:rsidRPr="00CD6F4A">
        <w:t xml:space="preserve"> RM</w:t>
      </w:r>
      <w:r w:rsidR="008B6E4A">
        <w:t>193.4</w:t>
      </w:r>
      <w:r w:rsidR="009F3A73" w:rsidRPr="00CD6F4A">
        <w:t xml:space="preserve"> million </w:t>
      </w:r>
      <w:r w:rsidR="007F6A37" w:rsidRPr="00CD6F4A">
        <w:t>from</w:t>
      </w:r>
      <w:r w:rsidR="009F3A73" w:rsidRPr="00CD6F4A">
        <w:t xml:space="preserve"> RM</w:t>
      </w:r>
      <w:r w:rsidR="008B6E4A">
        <w:t>149.3</w:t>
      </w:r>
      <w:r w:rsidR="0010780B" w:rsidRPr="00CD6F4A">
        <w:t xml:space="preserve"> million </w:t>
      </w:r>
      <w:r w:rsidR="00472CEE" w:rsidRPr="00CD6F4A">
        <w:t xml:space="preserve">achieved </w:t>
      </w:r>
      <w:r w:rsidR="00F2381B" w:rsidRPr="00CD6F4A">
        <w:t>for the corresponding quarter last year</w:t>
      </w:r>
      <w:r w:rsidR="00885EED" w:rsidRPr="00CD6F4A">
        <w:t xml:space="preserve">. The </w:t>
      </w:r>
      <w:r w:rsidR="00AE4A29" w:rsidRPr="00CD6F4A">
        <w:t>in</w:t>
      </w:r>
      <w:r w:rsidR="007C078D" w:rsidRPr="00CD6F4A">
        <w:t>crease in</w:t>
      </w:r>
      <w:r w:rsidR="00885EED" w:rsidRPr="00CD6F4A">
        <w:t xml:space="preserve"> </w:t>
      </w:r>
      <w:r w:rsidR="007C078D" w:rsidRPr="00CD6F4A">
        <w:t>revenue</w:t>
      </w:r>
      <w:r w:rsidR="00885EED" w:rsidRPr="00CD6F4A">
        <w:t xml:space="preserve"> was </w:t>
      </w:r>
      <w:r w:rsidR="00CA50BA" w:rsidRPr="00CD6F4A">
        <w:t xml:space="preserve">mainly due to </w:t>
      </w:r>
      <w:r w:rsidR="00885EED" w:rsidRPr="00CD6F4A">
        <w:t xml:space="preserve">the </w:t>
      </w:r>
      <w:r w:rsidR="00837248">
        <w:t xml:space="preserve">higher </w:t>
      </w:r>
      <w:r w:rsidR="00885EED" w:rsidRPr="00CD6F4A">
        <w:t xml:space="preserve">prices of </w:t>
      </w:r>
      <w:r w:rsidR="004C3DF6" w:rsidRPr="00CD6F4A">
        <w:t>palm products</w:t>
      </w:r>
      <w:r w:rsidR="00837248">
        <w:t xml:space="preserve"> and the increase in production of fresh fruit bunches</w:t>
      </w:r>
      <w:r w:rsidR="00885EED" w:rsidRPr="00CD6F4A">
        <w:t>.</w:t>
      </w:r>
      <w:r w:rsidR="003225DF" w:rsidRPr="00CD6F4A">
        <w:t xml:space="preserve"> </w:t>
      </w:r>
      <w:r w:rsidR="00CA4E7C" w:rsidRPr="00CD6F4A">
        <w:t xml:space="preserve">In line with </w:t>
      </w:r>
      <w:r w:rsidR="00472CEE" w:rsidRPr="00CD6F4A">
        <w:t>t</w:t>
      </w:r>
      <w:r w:rsidR="00AE4A29" w:rsidRPr="00CD6F4A">
        <w:t>he in</w:t>
      </w:r>
      <w:r w:rsidR="007C078D" w:rsidRPr="00CD6F4A">
        <w:t>crease in revenue</w:t>
      </w:r>
      <w:r w:rsidR="00CC3132">
        <w:t xml:space="preserve"> coupled with lower share of losses in jointly controlled entity</w:t>
      </w:r>
      <w:r w:rsidR="00472CEE" w:rsidRPr="00CD6F4A">
        <w:t>,</w:t>
      </w:r>
      <w:r w:rsidR="007C078D" w:rsidRPr="00CD6F4A">
        <w:t xml:space="preserve"> </w:t>
      </w:r>
      <w:r w:rsidR="00472CEE" w:rsidRPr="00CD6F4A">
        <w:t xml:space="preserve">the Group </w:t>
      </w:r>
      <w:r w:rsidR="00AE4A29" w:rsidRPr="00CD6F4A">
        <w:t xml:space="preserve">recorded a </w:t>
      </w:r>
      <w:r w:rsidR="00CA4E7C" w:rsidRPr="00CD6F4A">
        <w:t xml:space="preserve">profit </w:t>
      </w:r>
      <w:r w:rsidR="00D54FF9" w:rsidRPr="00CD6F4A">
        <w:t>before tax</w:t>
      </w:r>
      <w:r w:rsidR="007C078D" w:rsidRPr="00CD6F4A">
        <w:t xml:space="preserve"> of RM</w:t>
      </w:r>
      <w:r w:rsidR="008B6E4A">
        <w:t>44</w:t>
      </w:r>
      <w:r w:rsidR="00AE4A29" w:rsidRPr="00CD6F4A">
        <w:t>.</w:t>
      </w:r>
      <w:r w:rsidR="004A1C25">
        <w:t>5</w:t>
      </w:r>
      <w:r w:rsidR="007C078D" w:rsidRPr="00CD6F4A">
        <w:t xml:space="preserve"> million for the curre</w:t>
      </w:r>
      <w:r w:rsidR="00AE4A29" w:rsidRPr="00CD6F4A">
        <w:t xml:space="preserve">nt quarter as compared to </w:t>
      </w:r>
      <w:r w:rsidR="00787251" w:rsidRPr="00CD6F4A">
        <w:t xml:space="preserve">a </w:t>
      </w:r>
      <w:r w:rsidR="00AE4A29" w:rsidRPr="00CD6F4A">
        <w:t xml:space="preserve">loss </w:t>
      </w:r>
      <w:r w:rsidR="00D54FF9" w:rsidRPr="00CD6F4A">
        <w:t xml:space="preserve">before tax </w:t>
      </w:r>
      <w:r w:rsidR="007C078D" w:rsidRPr="00CD6F4A">
        <w:t>of RM</w:t>
      </w:r>
      <w:r w:rsidR="008B6E4A">
        <w:t>0.3</w:t>
      </w:r>
      <w:r w:rsidR="007C078D" w:rsidRPr="00CD6F4A">
        <w:t xml:space="preserve"> million for </w:t>
      </w:r>
      <w:r w:rsidR="00EA7119" w:rsidRPr="00CD6F4A">
        <w:t xml:space="preserve">the </w:t>
      </w:r>
      <w:r w:rsidR="007C078D" w:rsidRPr="00CD6F4A">
        <w:t>same quarter last year.</w:t>
      </w:r>
    </w:p>
    <w:p w:rsidR="006565E7" w:rsidRDefault="006565E7" w:rsidP="00D51ADF">
      <w:pPr>
        <w:pStyle w:val="BodyTextIndent3"/>
      </w:pPr>
    </w:p>
    <w:p w:rsidR="00D212B3" w:rsidRDefault="006565E7" w:rsidP="006F76BF">
      <w:pPr>
        <w:pStyle w:val="BodyTextIndent3"/>
      </w:pPr>
      <w:r>
        <w:t xml:space="preserve">For the six months ended 30 June 2010, the Group’s revenue </w:t>
      </w:r>
      <w:r w:rsidR="00672121">
        <w:t>i</w:t>
      </w:r>
      <w:r>
        <w:t>n</w:t>
      </w:r>
      <w:r w:rsidRPr="00903E18">
        <w:t>creased to RM</w:t>
      </w:r>
      <w:r>
        <w:t>376.8</w:t>
      </w:r>
      <w:r w:rsidRPr="00903E18">
        <w:t xml:space="preserve"> million from RM</w:t>
      </w:r>
      <w:r>
        <w:t>282.3</w:t>
      </w:r>
      <w:r w:rsidRPr="00903E18">
        <w:t xml:space="preserve"> million achieved for the corresponding </w:t>
      </w:r>
      <w:r>
        <w:t xml:space="preserve">period </w:t>
      </w:r>
      <w:r w:rsidRPr="00903E18">
        <w:t>last year.</w:t>
      </w:r>
      <w:r>
        <w:t xml:space="preserve"> The </w:t>
      </w:r>
      <w:r w:rsidR="00501488">
        <w:t>i</w:t>
      </w:r>
      <w:r>
        <w:t xml:space="preserve">ncrease in revenue was mainly due to </w:t>
      </w:r>
      <w:r w:rsidR="0040798E">
        <w:t xml:space="preserve">the </w:t>
      </w:r>
      <w:r>
        <w:t>higher prices of palm products</w:t>
      </w:r>
      <w:r w:rsidR="00E210FA">
        <w:t xml:space="preserve"> and the increase in production of fresh fruit bunches</w:t>
      </w:r>
      <w:r>
        <w:t xml:space="preserve">. </w:t>
      </w:r>
      <w:r w:rsidR="00E210FA">
        <w:t>As a result, t</w:t>
      </w:r>
      <w:r w:rsidR="006F76BF" w:rsidRPr="00C74A80">
        <w:t xml:space="preserve">he Group recorded </w:t>
      </w:r>
      <w:r w:rsidR="00256F30">
        <w:t xml:space="preserve">a </w:t>
      </w:r>
      <w:r w:rsidR="006F76BF" w:rsidRPr="00C74A80">
        <w:t>profit before taxation of RM</w:t>
      </w:r>
      <w:r w:rsidR="004A1C25">
        <w:t>84.3</w:t>
      </w:r>
      <w:r w:rsidR="006F76BF" w:rsidRPr="00C74A80">
        <w:t xml:space="preserve"> million for the </w:t>
      </w:r>
      <w:r w:rsidR="00E210FA">
        <w:t xml:space="preserve">first half of the current financial year </w:t>
      </w:r>
      <w:r w:rsidR="006F76BF" w:rsidRPr="00C74A80">
        <w:t xml:space="preserve">as compared to </w:t>
      </w:r>
      <w:r w:rsidR="006F76BF">
        <w:t xml:space="preserve">a loss before tax of </w:t>
      </w:r>
      <w:r w:rsidR="006F76BF" w:rsidRPr="00C74A80">
        <w:t>RM</w:t>
      </w:r>
      <w:r w:rsidR="006F76BF">
        <w:t>12.0</w:t>
      </w:r>
      <w:r w:rsidR="006F76BF" w:rsidRPr="00C74A80">
        <w:t xml:space="preserve"> million for the </w:t>
      </w:r>
      <w:r w:rsidR="00E210FA">
        <w:t xml:space="preserve">corresponding period last year. </w:t>
      </w:r>
      <w:r w:rsidR="00F24B10">
        <w:t>In addition, l</w:t>
      </w:r>
      <w:r w:rsidR="00E210FA">
        <w:t xml:space="preserve">ower share of losses </w:t>
      </w:r>
      <w:r w:rsidR="00F072E7">
        <w:t>in</w:t>
      </w:r>
      <w:r w:rsidR="00E210FA">
        <w:t xml:space="preserve"> jointly controlled entity for the period under review</w:t>
      </w:r>
      <w:r w:rsidR="00170FDE">
        <w:t xml:space="preserve"> also contributed to the improved performance</w:t>
      </w:r>
      <w:r w:rsidR="00E210FA">
        <w:t>.</w:t>
      </w:r>
      <w:r w:rsidR="00501488">
        <w:t xml:space="preserve"> </w:t>
      </w:r>
    </w:p>
    <w:p w:rsidR="003225DF" w:rsidRDefault="003225DF" w:rsidP="00D51ADF">
      <w:pPr>
        <w:pStyle w:val="BodyTextIndent3"/>
      </w:pPr>
    </w:p>
    <w:p w:rsidR="006F76BF" w:rsidRPr="00CD6F4A" w:rsidRDefault="006F76BF" w:rsidP="00D51ADF">
      <w:pPr>
        <w:pStyle w:val="BodyTextIndent3"/>
      </w:pPr>
    </w:p>
    <w:p w:rsidR="00F63AFC" w:rsidRPr="00CD6F4A" w:rsidRDefault="00F63AFC" w:rsidP="00DF49EA">
      <w:pPr>
        <w:numPr>
          <w:ilvl w:val="0"/>
          <w:numId w:val="45"/>
        </w:numPr>
        <w:tabs>
          <w:tab w:val="clear" w:pos="960"/>
        </w:tabs>
        <w:ind w:left="720" w:hanging="720"/>
        <w:jc w:val="both"/>
        <w:rPr>
          <w:rFonts w:ascii="Arial" w:hAnsi="Arial"/>
          <w:b/>
          <w:sz w:val="22"/>
        </w:rPr>
      </w:pPr>
      <w:r w:rsidRPr="00CD6F4A">
        <w:rPr>
          <w:rFonts w:ascii="Arial" w:hAnsi="Arial"/>
          <w:b/>
          <w:sz w:val="22"/>
        </w:rPr>
        <w:t>Material Change in the Profit Before Taxation for the Quarter Reported On as Compared with the Immediate Preceding Quarter</w:t>
      </w:r>
    </w:p>
    <w:p w:rsidR="00F63AFC" w:rsidRPr="00CD6F4A" w:rsidRDefault="00F63AFC" w:rsidP="00DF49EA">
      <w:pPr>
        <w:ind w:left="960"/>
        <w:jc w:val="both"/>
        <w:rPr>
          <w:rFonts w:ascii="Arial" w:hAnsi="Arial"/>
          <w:b/>
          <w:sz w:val="22"/>
        </w:rPr>
      </w:pPr>
    </w:p>
    <w:tbl>
      <w:tblPr>
        <w:tblW w:w="0" w:type="auto"/>
        <w:tblInd w:w="828" w:type="dxa"/>
        <w:tblLayout w:type="fixed"/>
        <w:tblLook w:val="0000"/>
      </w:tblPr>
      <w:tblGrid>
        <w:gridCol w:w="3420"/>
        <w:gridCol w:w="1440"/>
        <w:gridCol w:w="236"/>
        <w:gridCol w:w="1744"/>
        <w:gridCol w:w="236"/>
        <w:gridCol w:w="1564"/>
      </w:tblGrid>
      <w:tr w:rsidR="00F63AFC" w:rsidRPr="00CD6F4A">
        <w:tc>
          <w:tcPr>
            <w:tcW w:w="3420" w:type="dxa"/>
          </w:tcPr>
          <w:p w:rsidR="00F63AFC" w:rsidRPr="00CD6F4A" w:rsidRDefault="00F63AFC" w:rsidP="00D76CF3">
            <w:pPr>
              <w:jc w:val="both"/>
              <w:rPr>
                <w:rFonts w:ascii="Arial" w:hAnsi="Arial"/>
                <w:sz w:val="22"/>
                <w:szCs w:val="22"/>
              </w:rPr>
            </w:pPr>
          </w:p>
        </w:tc>
        <w:tc>
          <w:tcPr>
            <w:tcW w:w="1440" w:type="dxa"/>
          </w:tcPr>
          <w:p w:rsidR="00F63AFC" w:rsidRPr="00CD6F4A" w:rsidRDefault="00F63AFC" w:rsidP="00D76CF3">
            <w:pPr>
              <w:jc w:val="right"/>
              <w:rPr>
                <w:rFonts w:ascii="Arial" w:hAnsi="Arial"/>
                <w:b/>
                <w:sz w:val="22"/>
                <w:szCs w:val="22"/>
              </w:rPr>
            </w:pPr>
            <w:r w:rsidRPr="00CD6F4A">
              <w:rPr>
                <w:rFonts w:ascii="Arial" w:hAnsi="Arial"/>
                <w:b/>
                <w:sz w:val="22"/>
                <w:szCs w:val="22"/>
              </w:rPr>
              <w:t>Quarter</w:t>
            </w:r>
          </w:p>
          <w:p w:rsidR="00F63AFC" w:rsidRPr="00CD6F4A" w:rsidRDefault="00F63AFC" w:rsidP="00D76CF3">
            <w:pPr>
              <w:jc w:val="right"/>
              <w:rPr>
                <w:rFonts w:ascii="Arial" w:hAnsi="Arial"/>
                <w:b/>
                <w:sz w:val="22"/>
                <w:szCs w:val="22"/>
              </w:rPr>
            </w:pPr>
            <w:r w:rsidRPr="00CD6F4A">
              <w:rPr>
                <w:rFonts w:ascii="Arial" w:hAnsi="Arial"/>
                <w:b/>
                <w:sz w:val="22"/>
                <w:szCs w:val="22"/>
              </w:rPr>
              <w:t xml:space="preserve">Reported </w:t>
            </w:r>
          </w:p>
          <w:p w:rsidR="00F63AFC" w:rsidRPr="00CD6F4A" w:rsidRDefault="00F63AFC" w:rsidP="00D76CF3">
            <w:pPr>
              <w:jc w:val="right"/>
              <w:rPr>
                <w:rFonts w:ascii="Arial" w:hAnsi="Arial"/>
                <w:b/>
                <w:sz w:val="22"/>
                <w:szCs w:val="22"/>
              </w:rPr>
            </w:pPr>
            <w:r w:rsidRPr="00CD6F4A">
              <w:rPr>
                <w:rFonts w:ascii="Arial" w:hAnsi="Arial"/>
                <w:b/>
                <w:sz w:val="22"/>
                <w:szCs w:val="22"/>
              </w:rPr>
              <w:t>On</w:t>
            </w:r>
          </w:p>
          <w:p w:rsidR="00F63AFC" w:rsidRPr="00CD6F4A" w:rsidRDefault="00F63AFC" w:rsidP="00D76CF3">
            <w:pPr>
              <w:jc w:val="right"/>
              <w:rPr>
                <w:rFonts w:ascii="Arial" w:hAnsi="Arial"/>
                <w:b/>
                <w:sz w:val="22"/>
                <w:szCs w:val="22"/>
              </w:rPr>
            </w:pPr>
            <w:r w:rsidRPr="00CD6F4A">
              <w:rPr>
                <w:rFonts w:ascii="Arial" w:hAnsi="Arial"/>
                <w:b/>
                <w:sz w:val="22"/>
                <w:szCs w:val="22"/>
              </w:rPr>
              <w:t>RM'000</w:t>
            </w:r>
          </w:p>
        </w:tc>
        <w:tc>
          <w:tcPr>
            <w:tcW w:w="236" w:type="dxa"/>
          </w:tcPr>
          <w:p w:rsidR="00F63AFC" w:rsidRPr="00CD6F4A" w:rsidRDefault="00F63AFC" w:rsidP="00D76CF3">
            <w:pPr>
              <w:jc w:val="right"/>
              <w:rPr>
                <w:rFonts w:ascii="Arial" w:hAnsi="Arial"/>
                <w:sz w:val="22"/>
                <w:szCs w:val="22"/>
              </w:rPr>
            </w:pPr>
          </w:p>
          <w:p w:rsidR="00F63AFC" w:rsidRPr="00CD6F4A" w:rsidRDefault="00F63AFC" w:rsidP="00D76CF3">
            <w:pPr>
              <w:jc w:val="right"/>
              <w:rPr>
                <w:rFonts w:ascii="Arial" w:hAnsi="Arial"/>
                <w:sz w:val="22"/>
                <w:szCs w:val="22"/>
              </w:rPr>
            </w:pPr>
          </w:p>
        </w:tc>
        <w:tc>
          <w:tcPr>
            <w:tcW w:w="1744" w:type="dxa"/>
          </w:tcPr>
          <w:p w:rsidR="00F63AFC" w:rsidRPr="00CD6F4A" w:rsidRDefault="00F63AFC" w:rsidP="00D76CF3">
            <w:pPr>
              <w:jc w:val="right"/>
              <w:rPr>
                <w:rFonts w:ascii="Arial" w:hAnsi="Arial"/>
                <w:b/>
                <w:sz w:val="22"/>
                <w:szCs w:val="22"/>
              </w:rPr>
            </w:pPr>
            <w:r w:rsidRPr="00CD6F4A">
              <w:rPr>
                <w:rFonts w:ascii="Arial" w:hAnsi="Arial"/>
                <w:b/>
                <w:sz w:val="22"/>
                <w:szCs w:val="22"/>
              </w:rPr>
              <w:t>Immediate</w:t>
            </w:r>
          </w:p>
          <w:p w:rsidR="00F63AFC" w:rsidRPr="00CD6F4A" w:rsidRDefault="00F63AFC" w:rsidP="00D76CF3">
            <w:pPr>
              <w:jc w:val="right"/>
              <w:rPr>
                <w:rFonts w:ascii="Arial" w:hAnsi="Arial"/>
                <w:b/>
                <w:sz w:val="22"/>
                <w:szCs w:val="22"/>
              </w:rPr>
            </w:pPr>
            <w:r w:rsidRPr="00CD6F4A">
              <w:rPr>
                <w:rFonts w:ascii="Arial" w:hAnsi="Arial"/>
                <w:b/>
                <w:sz w:val="22"/>
                <w:szCs w:val="22"/>
              </w:rPr>
              <w:t>Preceding</w:t>
            </w:r>
          </w:p>
          <w:p w:rsidR="00F63AFC" w:rsidRPr="00CD6F4A" w:rsidRDefault="00F63AFC" w:rsidP="00D76CF3">
            <w:pPr>
              <w:jc w:val="right"/>
              <w:rPr>
                <w:rFonts w:ascii="Arial" w:hAnsi="Arial"/>
                <w:b/>
                <w:sz w:val="22"/>
                <w:szCs w:val="22"/>
              </w:rPr>
            </w:pPr>
            <w:r w:rsidRPr="00CD6F4A">
              <w:rPr>
                <w:rFonts w:ascii="Arial" w:hAnsi="Arial"/>
                <w:b/>
                <w:sz w:val="22"/>
                <w:szCs w:val="22"/>
              </w:rPr>
              <w:t>Quarter</w:t>
            </w:r>
          </w:p>
          <w:p w:rsidR="00F63AFC" w:rsidRPr="00CD6F4A" w:rsidRDefault="00F63AFC" w:rsidP="00D76CF3">
            <w:pPr>
              <w:jc w:val="right"/>
              <w:rPr>
                <w:rFonts w:ascii="Arial" w:hAnsi="Arial"/>
                <w:b/>
                <w:sz w:val="22"/>
                <w:szCs w:val="22"/>
              </w:rPr>
            </w:pPr>
            <w:r w:rsidRPr="00CD6F4A">
              <w:rPr>
                <w:rFonts w:ascii="Arial" w:hAnsi="Arial"/>
                <w:b/>
                <w:sz w:val="22"/>
                <w:szCs w:val="22"/>
              </w:rPr>
              <w:t>RM'000</w:t>
            </w:r>
          </w:p>
        </w:tc>
        <w:tc>
          <w:tcPr>
            <w:tcW w:w="236" w:type="dxa"/>
          </w:tcPr>
          <w:p w:rsidR="00F63AFC" w:rsidRPr="00CD6F4A" w:rsidRDefault="00F63AFC" w:rsidP="00D76CF3">
            <w:pPr>
              <w:jc w:val="right"/>
              <w:rPr>
                <w:rFonts w:ascii="Arial" w:hAnsi="Arial"/>
                <w:sz w:val="22"/>
                <w:szCs w:val="22"/>
              </w:rPr>
            </w:pPr>
          </w:p>
        </w:tc>
        <w:tc>
          <w:tcPr>
            <w:tcW w:w="1564" w:type="dxa"/>
          </w:tcPr>
          <w:p w:rsidR="00F63AFC" w:rsidRPr="00CD6F4A" w:rsidRDefault="00F63AFC" w:rsidP="00D76CF3">
            <w:pPr>
              <w:jc w:val="right"/>
              <w:rPr>
                <w:rFonts w:ascii="Arial" w:hAnsi="Arial"/>
                <w:b/>
                <w:sz w:val="22"/>
                <w:szCs w:val="22"/>
              </w:rPr>
            </w:pPr>
          </w:p>
          <w:p w:rsidR="00465179" w:rsidRPr="00CD6F4A" w:rsidRDefault="00465179" w:rsidP="00D76CF3">
            <w:pPr>
              <w:jc w:val="right"/>
              <w:rPr>
                <w:rFonts w:ascii="Arial" w:hAnsi="Arial"/>
                <w:b/>
                <w:sz w:val="22"/>
                <w:szCs w:val="22"/>
              </w:rPr>
            </w:pPr>
          </w:p>
          <w:p w:rsidR="00F63AFC" w:rsidRPr="00CD6F4A" w:rsidRDefault="00465179" w:rsidP="00D76CF3">
            <w:pPr>
              <w:jc w:val="right"/>
              <w:rPr>
                <w:rFonts w:ascii="Arial" w:hAnsi="Arial"/>
                <w:b/>
                <w:sz w:val="22"/>
                <w:szCs w:val="22"/>
              </w:rPr>
            </w:pPr>
            <w:r w:rsidRPr="00CD6F4A">
              <w:rPr>
                <w:rFonts w:ascii="Arial" w:hAnsi="Arial"/>
                <w:b/>
                <w:sz w:val="22"/>
                <w:szCs w:val="22"/>
              </w:rPr>
              <w:t xml:space="preserve"> </w:t>
            </w:r>
            <w:r w:rsidR="007910F5">
              <w:rPr>
                <w:rFonts w:ascii="Arial" w:hAnsi="Arial"/>
                <w:b/>
                <w:sz w:val="22"/>
                <w:szCs w:val="22"/>
              </w:rPr>
              <w:t>In</w:t>
            </w:r>
            <w:r w:rsidR="006273BA" w:rsidRPr="00CD6F4A">
              <w:rPr>
                <w:rFonts w:ascii="Arial" w:hAnsi="Arial"/>
                <w:b/>
                <w:sz w:val="22"/>
                <w:szCs w:val="22"/>
              </w:rPr>
              <w:t>crease</w:t>
            </w:r>
          </w:p>
          <w:p w:rsidR="00F63AFC" w:rsidRPr="00CD6F4A" w:rsidRDefault="00F63AFC" w:rsidP="00D76CF3">
            <w:pPr>
              <w:jc w:val="right"/>
              <w:rPr>
                <w:rFonts w:ascii="Arial" w:hAnsi="Arial"/>
                <w:sz w:val="22"/>
                <w:szCs w:val="22"/>
              </w:rPr>
            </w:pPr>
            <w:r w:rsidRPr="00CD6F4A">
              <w:rPr>
                <w:rFonts w:ascii="Arial" w:hAnsi="Arial"/>
                <w:b/>
                <w:sz w:val="22"/>
                <w:szCs w:val="22"/>
              </w:rPr>
              <w:t>RM'000</w:t>
            </w:r>
          </w:p>
        </w:tc>
      </w:tr>
      <w:tr w:rsidR="00F63AFC" w:rsidRPr="00CD6F4A">
        <w:trPr>
          <w:trHeight w:val="162"/>
        </w:trPr>
        <w:tc>
          <w:tcPr>
            <w:tcW w:w="3420" w:type="dxa"/>
          </w:tcPr>
          <w:p w:rsidR="00F63AFC" w:rsidRPr="00CD6F4A" w:rsidRDefault="00F63AFC" w:rsidP="00D76CF3">
            <w:pPr>
              <w:jc w:val="both"/>
              <w:rPr>
                <w:rFonts w:ascii="Arial" w:hAnsi="Arial"/>
                <w:sz w:val="22"/>
                <w:szCs w:val="22"/>
              </w:rPr>
            </w:pPr>
          </w:p>
        </w:tc>
        <w:tc>
          <w:tcPr>
            <w:tcW w:w="1440" w:type="dxa"/>
          </w:tcPr>
          <w:p w:rsidR="00F63AFC" w:rsidRPr="00CD6F4A" w:rsidRDefault="00F63AFC" w:rsidP="00D76CF3">
            <w:pPr>
              <w:jc w:val="right"/>
              <w:rPr>
                <w:rFonts w:ascii="Arial" w:hAnsi="Arial"/>
                <w:sz w:val="22"/>
                <w:szCs w:val="22"/>
              </w:rPr>
            </w:pPr>
          </w:p>
        </w:tc>
        <w:tc>
          <w:tcPr>
            <w:tcW w:w="236" w:type="dxa"/>
          </w:tcPr>
          <w:p w:rsidR="00F63AFC" w:rsidRPr="00CD6F4A" w:rsidRDefault="00F63AFC" w:rsidP="00D76CF3">
            <w:pPr>
              <w:jc w:val="right"/>
              <w:rPr>
                <w:rFonts w:ascii="Arial" w:hAnsi="Arial"/>
                <w:sz w:val="22"/>
                <w:szCs w:val="22"/>
              </w:rPr>
            </w:pPr>
          </w:p>
        </w:tc>
        <w:tc>
          <w:tcPr>
            <w:tcW w:w="1744" w:type="dxa"/>
          </w:tcPr>
          <w:p w:rsidR="00F63AFC" w:rsidRPr="00CD6F4A" w:rsidRDefault="00F63AFC" w:rsidP="00D76CF3">
            <w:pPr>
              <w:jc w:val="right"/>
              <w:rPr>
                <w:rFonts w:ascii="Arial" w:hAnsi="Arial"/>
                <w:sz w:val="22"/>
                <w:szCs w:val="22"/>
              </w:rPr>
            </w:pPr>
          </w:p>
        </w:tc>
        <w:tc>
          <w:tcPr>
            <w:tcW w:w="236" w:type="dxa"/>
          </w:tcPr>
          <w:p w:rsidR="00F63AFC" w:rsidRPr="00CD6F4A" w:rsidRDefault="00F63AFC" w:rsidP="00D76CF3">
            <w:pPr>
              <w:jc w:val="right"/>
              <w:rPr>
                <w:rFonts w:ascii="Arial" w:hAnsi="Arial"/>
                <w:sz w:val="22"/>
                <w:szCs w:val="22"/>
              </w:rPr>
            </w:pPr>
          </w:p>
        </w:tc>
        <w:tc>
          <w:tcPr>
            <w:tcW w:w="1564" w:type="dxa"/>
          </w:tcPr>
          <w:p w:rsidR="00F63AFC" w:rsidRPr="00CD6F4A" w:rsidRDefault="00F63AFC" w:rsidP="00D76CF3">
            <w:pPr>
              <w:jc w:val="right"/>
              <w:rPr>
                <w:rFonts w:ascii="Arial" w:hAnsi="Arial"/>
                <w:sz w:val="22"/>
                <w:szCs w:val="22"/>
              </w:rPr>
            </w:pPr>
          </w:p>
        </w:tc>
      </w:tr>
      <w:tr w:rsidR="00F63AFC" w:rsidRPr="00CD6F4A">
        <w:trPr>
          <w:trHeight w:val="360"/>
        </w:trPr>
        <w:tc>
          <w:tcPr>
            <w:tcW w:w="3420" w:type="dxa"/>
          </w:tcPr>
          <w:p w:rsidR="00F63AFC" w:rsidRPr="00CD6F4A" w:rsidRDefault="00940A4F" w:rsidP="00E226A7">
            <w:pPr>
              <w:spacing w:before="60" w:after="60"/>
              <w:jc w:val="both"/>
              <w:rPr>
                <w:rFonts w:ascii="Arial" w:hAnsi="Arial"/>
                <w:sz w:val="22"/>
                <w:szCs w:val="22"/>
              </w:rPr>
            </w:pPr>
            <w:r w:rsidRPr="00CD6F4A">
              <w:rPr>
                <w:rFonts w:ascii="Arial" w:hAnsi="Arial"/>
                <w:sz w:val="22"/>
                <w:szCs w:val="22"/>
              </w:rPr>
              <w:t>Profit</w:t>
            </w:r>
            <w:r w:rsidR="00936618" w:rsidRPr="00CD6F4A">
              <w:rPr>
                <w:rFonts w:ascii="Arial" w:hAnsi="Arial"/>
                <w:sz w:val="22"/>
                <w:szCs w:val="22"/>
              </w:rPr>
              <w:t xml:space="preserve"> </w:t>
            </w:r>
            <w:r w:rsidR="00F63AFC" w:rsidRPr="00CD6F4A">
              <w:rPr>
                <w:rFonts w:ascii="Arial" w:hAnsi="Arial"/>
                <w:sz w:val="22"/>
                <w:szCs w:val="22"/>
              </w:rPr>
              <w:t>before taxation</w:t>
            </w:r>
          </w:p>
        </w:tc>
        <w:tc>
          <w:tcPr>
            <w:tcW w:w="1440" w:type="dxa"/>
            <w:tcBorders>
              <w:bottom w:val="single" w:sz="12" w:space="0" w:color="auto"/>
            </w:tcBorders>
          </w:tcPr>
          <w:p w:rsidR="00F63AFC" w:rsidRPr="00CD6F4A" w:rsidRDefault="006F76BF" w:rsidP="00E226A7">
            <w:pPr>
              <w:spacing w:before="60" w:after="60"/>
              <w:jc w:val="right"/>
              <w:rPr>
                <w:rFonts w:ascii="Arial" w:hAnsi="Arial"/>
                <w:sz w:val="22"/>
                <w:szCs w:val="22"/>
              </w:rPr>
            </w:pPr>
            <w:r>
              <w:rPr>
                <w:rFonts w:ascii="Arial" w:hAnsi="Arial"/>
                <w:sz w:val="22"/>
                <w:szCs w:val="22"/>
              </w:rPr>
              <w:t>44,</w:t>
            </w:r>
            <w:r w:rsidR="006C23C1">
              <w:rPr>
                <w:rFonts w:ascii="Arial" w:hAnsi="Arial"/>
                <w:sz w:val="22"/>
                <w:szCs w:val="22"/>
              </w:rPr>
              <w:t>48</w:t>
            </w:r>
            <w:r w:rsidR="00FB222F">
              <w:rPr>
                <w:rFonts w:ascii="Arial" w:hAnsi="Arial"/>
                <w:sz w:val="22"/>
                <w:szCs w:val="22"/>
              </w:rPr>
              <w:t>9</w:t>
            </w:r>
          </w:p>
        </w:tc>
        <w:tc>
          <w:tcPr>
            <w:tcW w:w="236" w:type="dxa"/>
          </w:tcPr>
          <w:p w:rsidR="00F63AFC" w:rsidRPr="00CD6F4A" w:rsidRDefault="00F63AFC" w:rsidP="00E226A7">
            <w:pPr>
              <w:spacing w:before="60" w:after="60"/>
              <w:jc w:val="right"/>
              <w:rPr>
                <w:rFonts w:ascii="Arial" w:hAnsi="Arial"/>
                <w:sz w:val="22"/>
                <w:szCs w:val="22"/>
              </w:rPr>
            </w:pPr>
          </w:p>
        </w:tc>
        <w:tc>
          <w:tcPr>
            <w:tcW w:w="1744" w:type="dxa"/>
            <w:tcBorders>
              <w:bottom w:val="single" w:sz="12" w:space="0" w:color="auto"/>
            </w:tcBorders>
          </w:tcPr>
          <w:p w:rsidR="00F63AFC" w:rsidRPr="00CD6F4A" w:rsidRDefault="007910F5" w:rsidP="00E226A7">
            <w:pPr>
              <w:spacing w:before="60" w:after="60"/>
              <w:jc w:val="right"/>
              <w:rPr>
                <w:rFonts w:ascii="Arial" w:hAnsi="Arial"/>
                <w:sz w:val="22"/>
                <w:szCs w:val="22"/>
              </w:rPr>
            </w:pPr>
            <w:r>
              <w:rPr>
                <w:rFonts w:ascii="Arial" w:hAnsi="Arial"/>
                <w:sz w:val="22"/>
                <w:szCs w:val="22"/>
              </w:rPr>
              <w:t>39,844</w:t>
            </w:r>
          </w:p>
        </w:tc>
        <w:tc>
          <w:tcPr>
            <w:tcW w:w="236" w:type="dxa"/>
          </w:tcPr>
          <w:p w:rsidR="00F63AFC" w:rsidRPr="00CD6F4A" w:rsidRDefault="00F63AFC" w:rsidP="00E226A7">
            <w:pPr>
              <w:spacing w:before="60" w:after="60"/>
              <w:jc w:val="right"/>
              <w:rPr>
                <w:rFonts w:ascii="Arial" w:hAnsi="Arial"/>
                <w:sz w:val="22"/>
                <w:szCs w:val="22"/>
              </w:rPr>
            </w:pPr>
          </w:p>
        </w:tc>
        <w:tc>
          <w:tcPr>
            <w:tcW w:w="1564" w:type="dxa"/>
            <w:tcBorders>
              <w:bottom w:val="single" w:sz="12" w:space="0" w:color="auto"/>
            </w:tcBorders>
          </w:tcPr>
          <w:p w:rsidR="00F63AFC" w:rsidRPr="00CD6F4A" w:rsidRDefault="007910F5" w:rsidP="00E226A7">
            <w:pPr>
              <w:spacing w:before="60" w:after="60"/>
              <w:jc w:val="right"/>
              <w:rPr>
                <w:rFonts w:ascii="Arial" w:hAnsi="Arial"/>
                <w:sz w:val="22"/>
                <w:szCs w:val="22"/>
              </w:rPr>
            </w:pPr>
            <w:r>
              <w:rPr>
                <w:rFonts w:ascii="Arial" w:hAnsi="Arial"/>
                <w:sz w:val="22"/>
                <w:szCs w:val="22"/>
              </w:rPr>
              <w:t>4,</w:t>
            </w:r>
            <w:r w:rsidR="006C23C1">
              <w:rPr>
                <w:rFonts w:ascii="Arial" w:hAnsi="Arial"/>
                <w:sz w:val="22"/>
                <w:szCs w:val="22"/>
              </w:rPr>
              <w:t>64</w:t>
            </w:r>
            <w:r w:rsidR="00FB222F">
              <w:rPr>
                <w:rFonts w:ascii="Arial" w:hAnsi="Arial"/>
                <w:sz w:val="22"/>
                <w:szCs w:val="22"/>
              </w:rPr>
              <w:t>5</w:t>
            </w:r>
          </w:p>
        </w:tc>
      </w:tr>
    </w:tbl>
    <w:p w:rsidR="00F63AFC" w:rsidRPr="00CD6F4A" w:rsidRDefault="00F63AFC" w:rsidP="00F63AFC">
      <w:pPr>
        <w:pStyle w:val="BodyText"/>
        <w:ind w:left="720" w:hanging="720"/>
      </w:pPr>
      <w:r w:rsidRPr="00CD6F4A">
        <w:tab/>
      </w:r>
    </w:p>
    <w:p w:rsidR="00D13135" w:rsidRPr="00CD6F4A" w:rsidRDefault="00E910B6" w:rsidP="00357CE7">
      <w:pPr>
        <w:pStyle w:val="BodyText"/>
        <w:ind w:left="720" w:hanging="720"/>
        <w:rPr>
          <w:b/>
          <w:sz w:val="22"/>
        </w:rPr>
      </w:pPr>
      <w:r w:rsidRPr="00CD6F4A">
        <w:rPr>
          <w:sz w:val="22"/>
          <w:szCs w:val="22"/>
        </w:rPr>
        <w:tab/>
      </w:r>
      <w:r w:rsidR="00357CE7" w:rsidRPr="00CD6F4A">
        <w:rPr>
          <w:sz w:val="22"/>
          <w:szCs w:val="22"/>
        </w:rPr>
        <w:t>For the current quarter under review, the Group</w:t>
      </w:r>
      <w:r w:rsidR="001B05A0" w:rsidRPr="00CD6F4A">
        <w:rPr>
          <w:sz w:val="22"/>
          <w:szCs w:val="22"/>
        </w:rPr>
        <w:t xml:space="preserve"> recorded</w:t>
      </w:r>
      <w:r w:rsidR="00357CE7" w:rsidRPr="00CD6F4A">
        <w:rPr>
          <w:sz w:val="22"/>
          <w:szCs w:val="22"/>
        </w:rPr>
        <w:t xml:space="preserve"> </w:t>
      </w:r>
      <w:r w:rsidR="001B05A0" w:rsidRPr="00CD6F4A">
        <w:rPr>
          <w:sz w:val="22"/>
          <w:szCs w:val="22"/>
        </w:rPr>
        <w:t>profit</w:t>
      </w:r>
      <w:r w:rsidR="00357CE7" w:rsidRPr="00CD6F4A">
        <w:rPr>
          <w:sz w:val="22"/>
          <w:szCs w:val="22"/>
        </w:rPr>
        <w:t xml:space="preserve"> before taxation </w:t>
      </w:r>
      <w:r w:rsidR="001B6CC3" w:rsidRPr="00CD6F4A">
        <w:rPr>
          <w:sz w:val="22"/>
          <w:szCs w:val="22"/>
        </w:rPr>
        <w:t>of RM</w:t>
      </w:r>
      <w:r w:rsidR="006C23C1">
        <w:rPr>
          <w:sz w:val="22"/>
          <w:szCs w:val="22"/>
        </w:rPr>
        <w:t>44.</w:t>
      </w:r>
      <w:r w:rsidR="004E71AC">
        <w:rPr>
          <w:sz w:val="22"/>
          <w:szCs w:val="22"/>
        </w:rPr>
        <w:t>5</w:t>
      </w:r>
      <w:r w:rsidR="001B05A0" w:rsidRPr="00CD6F4A">
        <w:rPr>
          <w:sz w:val="22"/>
          <w:szCs w:val="22"/>
        </w:rPr>
        <w:t xml:space="preserve"> million</w:t>
      </w:r>
      <w:r w:rsidR="007910F5">
        <w:rPr>
          <w:sz w:val="22"/>
          <w:szCs w:val="22"/>
        </w:rPr>
        <w:t>, representing a</w:t>
      </w:r>
      <w:r w:rsidR="004E71AC">
        <w:rPr>
          <w:sz w:val="22"/>
          <w:szCs w:val="22"/>
        </w:rPr>
        <w:t>n</w:t>
      </w:r>
      <w:r w:rsidR="007910F5">
        <w:rPr>
          <w:sz w:val="22"/>
          <w:szCs w:val="22"/>
        </w:rPr>
        <w:t xml:space="preserve"> in</w:t>
      </w:r>
      <w:r w:rsidR="00FE104E" w:rsidRPr="00CD6F4A">
        <w:rPr>
          <w:sz w:val="22"/>
          <w:szCs w:val="22"/>
        </w:rPr>
        <w:t>crease of RM</w:t>
      </w:r>
      <w:r w:rsidR="006C23C1">
        <w:rPr>
          <w:sz w:val="22"/>
          <w:szCs w:val="22"/>
        </w:rPr>
        <w:t>4.6</w:t>
      </w:r>
      <w:r w:rsidR="00FE104E" w:rsidRPr="00CD6F4A">
        <w:rPr>
          <w:sz w:val="22"/>
          <w:szCs w:val="22"/>
        </w:rPr>
        <w:t xml:space="preserve"> million from RM</w:t>
      </w:r>
      <w:r w:rsidR="007910F5">
        <w:rPr>
          <w:sz w:val="22"/>
          <w:szCs w:val="22"/>
        </w:rPr>
        <w:t>39.8</w:t>
      </w:r>
      <w:r w:rsidR="00FE104E" w:rsidRPr="00CD6F4A">
        <w:rPr>
          <w:sz w:val="22"/>
          <w:szCs w:val="22"/>
        </w:rPr>
        <w:t xml:space="preserve"> million</w:t>
      </w:r>
      <w:r w:rsidR="001B05A0" w:rsidRPr="00CD6F4A">
        <w:rPr>
          <w:sz w:val="22"/>
          <w:szCs w:val="22"/>
        </w:rPr>
        <w:t xml:space="preserve"> </w:t>
      </w:r>
      <w:r w:rsidR="00611269" w:rsidRPr="00CD6F4A">
        <w:rPr>
          <w:sz w:val="22"/>
          <w:szCs w:val="22"/>
        </w:rPr>
        <w:t xml:space="preserve">recorded </w:t>
      </w:r>
      <w:r w:rsidR="00FC2B49" w:rsidRPr="00CD6F4A">
        <w:rPr>
          <w:sz w:val="22"/>
          <w:szCs w:val="22"/>
        </w:rPr>
        <w:t>for</w:t>
      </w:r>
      <w:r w:rsidR="00357CE7" w:rsidRPr="00CD6F4A">
        <w:rPr>
          <w:sz w:val="22"/>
          <w:szCs w:val="22"/>
        </w:rPr>
        <w:t xml:space="preserve"> the immediate preceding quarter. </w:t>
      </w:r>
      <w:r w:rsidR="00C84779">
        <w:rPr>
          <w:sz w:val="22"/>
          <w:szCs w:val="22"/>
        </w:rPr>
        <w:t>The increase</w:t>
      </w:r>
      <w:r w:rsidR="00611269" w:rsidRPr="00CD6F4A">
        <w:rPr>
          <w:sz w:val="22"/>
          <w:szCs w:val="22"/>
        </w:rPr>
        <w:t xml:space="preserve"> in profit before </w:t>
      </w:r>
      <w:r w:rsidR="00C84779">
        <w:rPr>
          <w:sz w:val="22"/>
          <w:szCs w:val="22"/>
        </w:rPr>
        <w:t>taxation was mainly due to higher</w:t>
      </w:r>
      <w:r w:rsidR="00611269" w:rsidRPr="00CD6F4A">
        <w:rPr>
          <w:sz w:val="22"/>
          <w:szCs w:val="22"/>
        </w:rPr>
        <w:t xml:space="preserve"> production of fresh fr</w:t>
      </w:r>
      <w:r w:rsidR="00C84779">
        <w:rPr>
          <w:sz w:val="22"/>
          <w:szCs w:val="22"/>
        </w:rPr>
        <w:t>uit bunches</w:t>
      </w:r>
      <w:r w:rsidR="004E71AC">
        <w:rPr>
          <w:sz w:val="22"/>
          <w:szCs w:val="22"/>
        </w:rPr>
        <w:t xml:space="preserve"> and </w:t>
      </w:r>
      <w:r w:rsidR="007C3C40">
        <w:rPr>
          <w:sz w:val="22"/>
          <w:szCs w:val="22"/>
        </w:rPr>
        <w:t xml:space="preserve">recognition of </w:t>
      </w:r>
      <w:r w:rsidR="004E71AC">
        <w:rPr>
          <w:sz w:val="22"/>
          <w:szCs w:val="22"/>
        </w:rPr>
        <w:t xml:space="preserve">reserve on consolidation of RM1.6 million arising from the acquisition of </w:t>
      </w:r>
      <w:proofErr w:type="spellStart"/>
      <w:r w:rsidR="004E71AC">
        <w:rPr>
          <w:sz w:val="22"/>
          <w:szCs w:val="22"/>
        </w:rPr>
        <w:t>Hak</w:t>
      </w:r>
      <w:proofErr w:type="spellEnd"/>
      <w:r w:rsidR="004E71AC">
        <w:rPr>
          <w:sz w:val="22"/>
          <w:szCs w:val="22"/>
        </w:rPr>
        <w:t xml:space="preserve"> JTOP </w:t>
      </w:r>
      <w:proofErr w:type="spellStart"/>
      <w:r w:rsidR="004E71AC">
        <w:rPr>
          <w:sz w:val="22"/>
          <w:szCs w:val="22"/>
        </w:rPr>
        <w:t>Sdn</w:t>
      </w:r>
      <w:proofErr w:type="spellEnd"/>
      <w:r w:rsidR="004E71AC">
        <w:rPr>
          <w:sz w:val="22"/>
          <w:szCs w:val="22"/>
        </w:rPr>
        <w:t xml:space="preserve"> Bhd</w:t>
      </w:r>
      <w:r w:rsidR="00611269" w:rsidRPr="00CD6F4A">
        <w:rPr>
          <w:sz w:val="22"/>
          <w:szCs w:val="22"/>
        </w:rPr>
        <w:t>.</w:t>
      </w:r>
    </w:p>
    <w:p w:rsidR="004A4E97" w:rsidRDefault="004A4E97">
      <w:pPr>
        <w:tabs>
          <w:tab w:val="left" w:pos="720"/>
        </w:tabs>
        <w:jc w:val="both"/>
        <w:rPr>
          <w:rFonts w:ascii="Arial" w:hAnsi="Arial"/>
          <w:b/>
          <w:sz w:val="22"/>
        </w:rPr>
      </w:pPr>
    </w:p>
    <w:p w:rsidR="00C84779" w:rsidRPr="00CD6F4A" w:rsidRDefault="00C84779">
      <w:pPr>
        <w:tabs>
          <w:tab w:val="left" w:pos="720"/>
        </w:tabs>
        <w:jc w:val="both"/>
        <w:rPr>
          <w:rFonts w:ascii="Arial" w:hAnsi="Arial"/>
          <w:b/>
          <w:sz w:val="22"/>
        </w:rPr>
      </w:pPr>
    </w:p>
    <w:p w:rsidR="002F72DF" w:rsidRPr="00CD6F4A" w:rsidRDefault="002F72DF" w:rsidP="00DF49EA">
      <w:pPr>
        <w:numPr>
          <w:ilvl w:val="0"/>
          <w:numId w:val="45"/>
        </w:numPr>
        <w:tabs>
          <w:tab w:val="clear" w:pos="960"/>
        </w:tabs>
        <w:ind w:left="720" w:hanging="720"/>
        <w:jc w:val="both"/>
        <w:rPr>
          <w:rFonts w:ascii="Arial" w:hAnsi="Arial"/>
          <w:b/>
          <w:sz w:val="22"/>
        </w:rPr>
      </w:pPr>
      <w:r w:rsidRPr="00CD6F4A">
        <w:rPr>
          <w:rFonts w:ascii="Arial" w:hAnsi="Arial"/>
          <w:b/>
          <w:sz w:val="22"/>
        </w:rPr>
        <w:t>Prospects</w:t>
      </w:r>
      <w:r w:rsidRPr="00CD6F4A">
        <w:rPr>
          <w:rFonts w:ascii="Arial" w:hAnsi="Arial"/>
          <w:b/>
          <w:sz w:val="22"/>
        </w:rPr>
        <w:tab/>
      </w:r>
    </w:p>
    <w:p w:rsidR="002F72DF" w:rsidRPr="00CD6F4A" w:rsidRDefault="002F72DF">
      <w:pPr>
        <w:ind w:left="360"/>
        <w:jc w:val="both"/>
        <w:rPr>
          <w:rFonts w:ascii="Arial" w:hAnsi="Arial"/>
          <w:b/>
          <w:sz w:val="22"/>
        </w:rPr>
      </w:pPr>
    </w:p>
    <w:p w:rsidR="007B0943" w:rsidRPr="00E46EA4" w:rsidRDefault="007B0943" w:rsidP="007B0943">
      <w:pPr>
        <w:pStyle w:val="BodyTextIndent"/>
        <w:ind w:left="720" w:firstLine="0"/>
        <w:rPr>
          <w:sz w:val="22"/>
        </w:rPr>
      </w:pPr>
      <w:r w:rsidRPr="00E46EA4">
        <w:rPr>
          <w:sz w:val="22"/>
        </w:rPr>
        <w:t xml:space="preserve">Based on the prevailing prices of palm products and the </w:t>
      </w:r>
      <w:r>
        <w:rPr>
          <w:sz w:val="22"/>
        </w:rPr>
        <w:t>expected</w:t>
      </w:r>
      <w:r w:rsidRPr="00E46EA4">
        <w:rPr>
          <w:sz w:val="22"/>
        </w:rPr>
        <w:t xml:space="preserve"> increase in production</w:t>
      </w:r>
      <w:r>
        <w:rPr>
          <w:sz w:val="22"/>
        </w:rPr>
        <w:t xml:space="preserve"> in the second half of the year</w:t>
      </w:r>
      <w:r w:rsidRPr="00E46EA4">
        <w:rPr>
          <w:sz w:val="22"/>
        </w:rPr>
        <w:t>,</w:t>
      </w:r>
      <w:r w:rsidR="00EB4916" w:rsidRPr="00CD6F4A">
        <w:rPr>
          <w:sz w:val="22"/>
        </w:rPr>
        <w:t xml:space="preserve"> </w:t>
      </w:r>
      <w:r w:rsidRPr="00E46EA4">
        <w:rPr>
          <w:sz w:val="22"/>
        </w:rPr>
        <w:t xml:space="preserve">the Board of Directors expects the results for the </w:t>
      </w:r>
      <w:r w:rsidRPr="00BA02C3">
        <w:rPr>
          <w:sz w:val="22"/>
        </w:rPr>
        <w:t>second</w:t>
      </w:r>
      <w:r w:rsidRPr="00E46EA4">
        <w:rPr>
          <w:sz w:val="22"/>
        </w:rPr>
        <w:t xml:space="preserve"> </w:t>
      </w:r>
      <w:r>
        <w:rPr>
          <w:sz w:val="22"/>
        </w:rPr>
        <w:t>half</w:t>
      </w:r>
      <w:r w:rsidRPr="00E46EA4">
        <w:rPr>
          <w:sz w:val="22"/>
        </w:rPr>
        <w:t xml:space="preserve"> to be</w:t>
      </w:r>
      <w:r>
        <w:rPr>
          <w:sz w:val="22"/>
        </w:rPr>
        <w:t xml:space="preserve"> </w:t>
      </w:r>
      <w:r w:rsidRPr="00E46EA4">
        <w:rPr>
          <w:sz w:val="22"/>
        </w:rPr>
        <w:t xml:space="preserve">better than </w:t>
      </w:r>
      <w:r>
        <w:rPr>
          <w:sz w:val="22"/>
        </w:rPr>
        <w:t xml:space="preserve">that of </w:t>
      </w:r>
      <w:r w:rsidRPr="00E46EA4">
        <w:rPr>
          <w:sz w:val="22"/>
        </w:rPr>
        <w:t xml:space="preserve">the </w:t>
      </w:r>
      <w:r>
        <w:rPr>
          <w:sz w:val="22"/>
        </w:rPr>
        <w:t>first half of the current financial year</w:t>
      </w:r>
      <w:r w:rsidRPr="00E46EA4">
        <w:rPr>
          <w:sz w:val="22"/>
        </w:rPr>
        <w:t>.</w:t>
      </w:r>
    </w:p>
    <w:p w:rsidR="00A42A55" w:rsidRPr="00CD6F4A" w:rsidRDefault="00A42A55" w:rsidP="00D13135">
      <w:pPr>
        <w:pStyle w:val="BodyTextIndent"/>
        <w:ind w:left="720" w:firstLine="0"/>
        <w:rPr>
          <w:sz w:val="22"/>
        </w:rPr>
      </w:pPr>
    </w:p>
    <w:p w:rsidR="00611269" w:rsidRPr="00CD6F4A" w:rsidRDefault="00611269" w:rsidP="00D13135">
      <w:pPr>
        <w:pStyle w:val="BodyTextIndent"/>
        <w:ind w:left="720" w:firstLine="0"/>
        <w:rPr>
          <w:sz w:val="22"/>
        </w:rPr>
      </w:pPr>
    </w:p>
    <w:p w:rsidR="00611269" w:rsidRPr="00CD6F4A" w:rsidRDefault="007B0943" w:rsidP="00D13135">
      <w:pPr>
        <w:pStyle w:val="BodyTextIndent"/>
        <w:ind w:left="720" w:firstLine="0"/>
        <w:rPr>
          <w:sz w:val="22"/>
        </w:rPr>
      </w:pPr>
      <w:r>
        <w:rPr>
          <w:sz w:val="22"/>
        </w:rPr>
        <w:br w:type="page"/>
      </w:r>
    </w:p>
    <w:p w:rsidR="00611269" w:rsidRPr="00CD6F4A" w:rsidRDefault="00611269" w:rsidP="00611269">
      <w:pPr>
        <w:numPr>
          <w:ilvl w:val="0"/>
          <w:numId w:val="45"/>
        </w:numPr>
        <w:tabs>
          <w:tab w:val="clear" w:pos="960"/>
        </w:tabs>
        <w:ind w:left="720" w:hanging="720"/>
        <w:jc w:val="both"/>
        <w:rPr>
          <w:rFonts w:ascii="Arial" w:hAnsi="Arial"/>
          <w:b/>
          <w:sz w:val="22"/>
        </w:rPr>
      </w:pPr>
      <w:r w:rsidRPr="00CD6F4A">
        <w:rPr>
          <w:rFonts w:ascii="Arial" w:hAnsi="Arial"/>
          <w:b/>
          <w:sz w:val="22"/>
        </w:rPr>
        <w:lastRenderedPageBreak/>
        <w:t>Variance of Actual Profit from Forecast Profit</w:t>
      </w:r>
    </w:p>
    <w:p w:rsidR="00611269" w:rsidRPr="00CD6F4A" w:rsidRDefault="00611269" w:rsidP="00611269">
      <w:pPr>
        <w:tabs>
          <w:tab w:val="left" w:pos="9450"/>
        </w:tabs>
        <w:ind w:left="360" w:right="270"/>
        <w:jc w:val="both"/>
        <w:rPr>
          <w:rFonts w:ascii="Arial" w:hAnsi="Arial"/>
          <w:b/>
          <w:sz w:val="22"/>
        </w:rPr>
      </w:pPr>
    </w:p>
    <w:p w:rsidR="00611269" w:rsidRPr="00CD6F4A" w:rsidRDefault="00611269" w:rsidP="00611269">
      <w:pPr>
        <w:ind w:left="720"/>
        <w:jc w:val="both"/>
        <w:rPr>
          <w:rFonts w:ascii="Arial" w:hAnsi="Arial"/>
          <w:sz w:val="22"/>
        </w:rPr>
      </w:pPr>
      <w:r w:rsidRPr="00CD6F4A">
        <w:rPr>
          <w:rFonts w:ascii="Arial" w:hAnsi="Arial"/>
          <w:sz w:val="22"/>
        </w:rPr>
        <w:t>The Group has not provided any profit forecast for the current financial year in a public document.</w:t>
      </w:r>
    </w:p>
    <w:p w:rsidR="00076EF5" w:rsidRDefault="00076EF5" w:rsidP="008E1CB7">
      <w:pPr>
        <w:pStyle w:val="BodyTextIndent"/>
        <w:ind w:left="720" w:firstLine="0"/>
      </w:pPr>
    </w:p>
    <w:p w:rsidR="007B0943" w:rsidRPr="00CD6F4A" w:rsidRDefault="007B0943" w:rsidP="008E1CB7">
      <w:pPr>
        <w:pStyle w:val="BodyTextIndent"/>
        <w:ind w:left="720" w:firstLine="0"/>
      </w:pPr>
    </w:p>
    <w:p w:rsidR="002F72DF" w:rsidRPr="00CD6F4A" w:rsidRDefault="002F72DF" w:rsidP="00DF49EA">
      <w:pPr>
        <w:numPr>
          <w:ilvl w:val="0"/>
          <w:numId w:val="45"/>
        </w:numPr>
        <w:tabs>
          <w:tab w:val="clear" w:pos="960"/>
        </w:tabs>
        <w:ind w:left="720" w:hanging="720"/>
        <w:jc w:val="both"/>
        <w:rPr>
          <w:rFonts w:ascii="Arial" w:hAnsi="Arial"/>
          <w:b/>
          <w:sz w:val="22"/>
        </w:rPr>
      </w:pPr>
      <w:r w:rsidRPr="00CD6F4A">
        <w:rPr>
          <w:rFonts w:ascii="Arial" w:hAnsi="Arial"/>
          <w:b/>
          <w:sz w:val="22"/>
        </w:rPr>
        <w:t>Taxation</w:t>
      </w:r>
    </w:p>
    <w:p w:rsidR="002F72DF" w:rsidRPr="00CD6F4A" w:rsidRDefault="002F72DF">
      <w:pPr>
        <w:jc w:val="both"/>
        <w:rPr>
          <w:rFonts w:ascii="Arial" w:hAnsi="Arial"/>
          <w:b/>
          <w:sz w:val="22"/>
        </w:rPr>
      </w:pPr>
    </w:p>
    <w:tbl>
      <w:tblPr>
        <w:tblW w:w="0" w:type="auto"/>
        <w:tblInd w:w="828" w:type="dxa"/>
        <w:tblLayout w:type="fixed"/>
        <w:tblLook w:val="0000"/>
      </w:tblPr>
      <w:tblGrid>
        <w:gridCol w:w="5040"/>
        <w:gridCol w:w="1620"/>
        <w:gridCol w:w="270"/>
        <w:gridCol w:w="1620"/>
      </w:tblGrid>
      <w:tr w:rsidR="002F72DF" w:rsidRPr="00CD6F4A">
        <w:trPr>
          <w:trHeight w:val="1107"/>
        </w:trPr>
        <w:tc>
          <w:tcPr>
            <w:tcW w:w="5040" w:type="dxa"/>
          </w:tcPr>
          <w:p w:rsidR="002F72DF" w:rsidRPr="00CD6F4A" w:rsidRDefault="002F72DF">
            <w:pPr>
              <w:jc w:val="both"/>
              <w:rPr>
                <w:rFonts w:ascii="Arial" w:hAnsi="Arial"/>
                <w:b/>
                <w:sz w:val="22"/>
              </w:rPr>
            </w:pPr>
          </w:p>
        </w:tc>
        <w:tc>
          <w:tcPr>
            <w:tcW w:w="1620" w:type="dxa"/>
          </w:tcPr>
          <w:p w:rsidR="002F72DF" w:rsidRPr="00CD6F4A" w:rsidRDefault="002F72DF" w:rsidP="00477EB1">
            <w:pPr>
              <w:pStyle w:val="BodyText3"/>
              <w:jc w:val="right"/>
              <w:rPr>
                <w:sz w:val="22"/>
              </w:rPr>
            </w:pPr>
            <w:r w:rsidRPr="00CD6F4A">
              <w:rPr>
                <w:sz w:val="22"/>
              </w:rPr>
              <w:t xml:space="preserve">Current Year        Quarter </w:t>
            </w:r>
          </w:p>
          <w:p w:rsidR="002F72DF" w:rsidRPr="00CD6F4A" w:rsidRDefault="002F72DF" w:rsidP="00477EB1">
            <w:pPr>
              <w:pStyle w:val="Heading5"/>
              <w:jc w:val="right"/>
              <w:rPr>
                <w:rFonts w:ascii="Arial" w:hAnsi="Arial"/>
                <w:sz w:val="22"/>
              </w:rPr>
            </w:pPr>
            <w:r w:rsidRPr="00CD6F4A">
              <w:rPr>
                <w:rFonts w:ascii="Arial" w:hAnsi="Arial"/>
                <w:sz w:val="22"/>
              </w:rPr>
              <w:t>RM’000</w:t>
            </w:r>
          </w:p>
          <w:p w:rsidR="002F72DF" w:rsidRPr="00CD6F4A" w:rsidRDefault="002F72DF" w:rsidP="00477EB1">
            <w:pPr>
              <w:rPr>
                <w:rFonts w:ascii="Arial" w:hAnsi="Arial"/>
                <w:b/>
                <w:sz w:val="22"/>
              </w:rPr>
            </w:pPr>
          </w:p>
        </w:tc>
        <w:tc>
          <w:tcPr>
            <w:tcW w:w="270" w:type="dxa"/>
          </w:tcPr>
          <w:p w:rsidR="002F72DF" w:rsidRPr="00CD6F4A" w:rsidRDefault="002F72DF" w:rsidP="00477EB1">
            <w:pPr>
              <w:jc w:val="both"/>
              <w:rPr>
                <w:rFonts w:ascii="Arial" w:hAnsi="Arial"/>
                <w:b/>
                <w:sz w:val="22"/>
              </w:rPr>
            </w:pPr>
          </w:p>
        </w:tc>
        <w:tc>
          <w:tcPr>
            <w:tcW w:w="1620" w:type="dxa"/>
          </w:tcPr>
          <w:p w:rsidR="002F72DF" w:rsidRPr="00CD6F4A" w:rsidRDefault="007B0943" w:rsidP="00477EB1">
            <w:pPr>
              <w:pStyle w:val="Heading5"/>
              <w:jc w:val="right"/>
              <w:rPr>
                <w:rFonts w:ascii="Arial" w:hAnsi="Arial"/>
                <w:sz w:val="22"/>
              </w:rPr>
            </w:pPr>
            <w:r>
              <w:rPr>
                <w:rFonts w:ascii="Arial" w:hAnsi="Arial"/>
                <w:sz w:val="22"/>
              </w:rPr>
              <w:t>Current Year To D</w:t>
            </w:r>
            <w:r w:rsidR="002F72DF" w:rsidRPr="00CD6F4A">
              <w:rPr>
                <w:rFonts w:ascii="Arial" w:hAnsi="Arial"/>
                <w:sz w:val="22"/>
              </w:rPr>
              <w:t>ate RM’000</w:t>
            </w:r>
          </w:p>
          <w:p w:rsidR="002F72DF" w:rsidRPr="00CD6F4A" w:rsidRDefault="002F72DF" w:rsidP="00477EB1">
            <w:pPr>
              <w:rPr>
                <w:rFonts w:ascii="Arial" w:hAnsi="Arial"/>
                <w:b/>
                <w:sz w:val="22"/>
              </w:rPr>
            </w:pPr>
          </w:p>
        </w:tc>
      </w:tr>
      <w:tr w:rsidR="00D5747E" w:rsidRPr="00CD6F4A">
        <w:trPr>
          <w:trHeight w:val="360"/>
        </w:trPr>
        <w:tc>
          <w:tcPr>
            <w:tcW w:w="5040" w:type="dxa"/>
          </w:tcPr>
          <w:p w:rsidR="00D5747E" w:rsidRPr="00CD6F4A" w:rsidRDefault="00D5747E" w:rsidP="00E226A7">
            <w:pPr>
              <w:spacing w:before="60" w:after="60"/>
              <w:jc w:val="both"/>
              <w:rPr>
                <w:rFonts w:ascii="Arial" w:hAnsi="Arial"/>
                <w:sz w:val="22"/>
              </w:rPr>
            </w:pPr>
            <w:r w:rsidRPr="00CD6F4A">
              <w:rPr>
                <w:rFonts w:ascii="Arial" w:hAnsi="Arial"/>
                <w:sz w:val="22"/>
              </w:rPr>
              <w:t>Income tax expense</w:t>
            </w:r>
          </w:p>
        </w:tc>
        <w:tc>
          <w:tcPr>
            <w:tcW w:w="1620" w:type="dxa"/>
          </w:tcPr>
          <w:p w:rsidR="00D5747E" w:rsidRPr="00CD6F4A" w:rsidRDefault="006C23C1" w:rsidP="00E226A7">
            <w:pPr>
              <w:tabs>
                <w:tab w:val="decimal" w:pos="1242"/>
              </w:tabs>
              <w:spacing w:before="60" w:after="60"/>
              <w:rPr>
                <w:rFonts w:ascii="Arial" w:hAnsi="Arial"/>
                <w:sz w:val="22"/>
              </w:rPr>
            </w:pPr>
            <w:r>
              <w:rPr>
                <w:rFonts w:ascii="Arial" w:hAnsi="Arial"/>
                <w:sz w:val="22"/>
              </w:rPr>
              <w:t>14,045</w:t>
            </w:r>
          </w:p>
        </w:tc>
        <w:tc>
          <w:tcPr>
            <w:tcW w:w="270" w:type="dxa"/>
          </w:tcPr>
          <w:p w:rsidR="00D5747E" w:rsidRPr="00CD6F4A" w:rsidRDefault="00D5747E" w:rsidP="00E226A7">
            <w:pPr>
              <w:spacing w:before="60" w:after="60"/>
              <w:jc w:val="center"/>
              <w:rPr>
                <w:rFonts w:ascii="Arial" w:hAnsi="Arial"/>
                <w:sz w:val="22"/>
              </w:rPr>
            </w:pPr>
          </w:p>
        </w:tc>
        <w:tc>
          <w:tcPr>
            <w:tcW w:w="1620" w:type="dxa"/>
          </w:tcPr>
          <w:p w:rsidR="00D5747E" w:rsidRPr="00CD6F4A" w:rsidRDefault="006C23C1" w:rsidP="00E226A7">
            <w:pPr>
              <w:tabs>
                <w:tab w:val="decimal" w:pos="1242"/>
              </w:tabs>
              <w:spacing w:before="60" w:after="60"/>
              <w:rPr>
                <w:rFonts w:ascii="Arial" w:hAnsi="Arial"/>
                <w:sz w:val="22"/>
              </w:rPr>
            </w:pPr>
            <w:r>
              <w:rPr>
                <w:rFonts w:ascii="Arial" w:hAnsi="Arial"/>
                <w:sz w:val="22"/>
              </w:rPr>
              <w:t>24,222</w:t>
            </w:r>
          </w:p>
        </w:tc>
      </w:tr>
      <w:tr w:rsidR="00D5747E" w:rsidRPr="00CD6F4A">
        <w:trPr>
          <w:trHeight w:val="360"/>
        </w:trPr>
        <w:tc>
          <w:tcPr>
            <w:tcW w:w="5040" w:type="dxa"/>
          </w:tcPr>
          <w:p w:rsidR="00D5747E" w:rsidRPr="00CD6F4A" w:rsidRDefault="00D5747E" w:rsidP="00E226A7">
            <w:pPr>
              <w:spacing w:before="60" w:after="60"/>
              <w:jc w:val="both"/>
              <w:rPr>
                <w:rFonts w:ascii="Arial" w:hAnsi="Arial"/>
                <w:sz w:val="22"/>
              </w:rPr>
            </w:pPr>
            <w:r w:rsidRPr="00CD6F4A">
              <w:rPr>
                <w:rFonts w:ascii="Arial" w:hAnsi="Arial"/>
                <w:sz w:val="22"/>
              </w:rPr>
              <w:t>Deferred tax</w:t>
            </w:r>
          </w:p>
        </w:tc>
        <w:tc>
          <w:tcPr>
            <w:tcW w:w="1620" w:type="dxa"/>
          </w:tcPr>
          <w:p w:rsidR="00D5747E" w:rsidRPr="00CD6F4A" w:rsidRDefault="006C23C1" w:rsidP="00E226A7">
            <w:pPr>
              <w:tabs>
                <w:tab w:val="decimal" w:pos="1242"/>
              </w:tabs>
              <w:spacing w:before="60" w:after="60"/>
              <w:rPr>
                <w:rFonts w:ascii="Arial" w:hAnsi="Arial"/>
                <w:sz w:val="22"/>
              </w:rPr>
            </w:pPr>
            <w:r>
              <w:rPr>
                <w:rFonts w:ascii="Arial" w:hAnsi="Arial"/>
                <w:sz w:val="22"/>
              </w:rPr>
              <w:t>681</w:t>
            </w:r>
          </w:p>
        </w:tc>
        <w:tc>
          <w:tcPr>
            <w:tcW w:w="270" w:type="dxa"/>
          </w:tcPr>
          <w:p w:rsidR="00D5747E" w:rsidRPr="00CD6F4A" w:rsidRDefault="00D5747E" w:rsidP="00E226A7">
            <w:pPr>
              <w:spacing w:before="60" w:after="60"/>
              <w:jc w:val="center"/>
              <w:rPr>
                <w:rFonts w:ascii="Arial" w:hAnsi="Arial"/>
                <w:sz w:val="22"/>
              </w:rPr>
            </w:pPr>
          </w:p>
        </w:tc>
        <w:tc>
          <w:tcPr>
            <w:tcW w:w="1620" w:type="dxa"/>
          </w:tcPr>
          <w:p w:rsidR="00D5747E" w:rsidRPr="00CD6F4A" w:rsidRDefault="006C23C1" w:rsidP="00E226A7">
            <w:pPr>
              <w:tabs>
                <w:tab w:val="decimal" w:pos="1242"/>
              </w:tabs>
              <w:spacing w:before="60" w:after="60"/>
              <w:rPr>
                <w:rFonts w:ascii="Arial" w:hAnsi="Arial"/>
                <w:sz w:val="22"/>
              </w:rPr>
            </w:pPr>
            <w:r>
              <w:rPr>
                <w:rFonts w:ascii="Arial" w:hAnsi="Arial"/>
                <w:sz w:val="22"/>
              </w:rPr>
              <w:t>3,140</w:t>
            </w:r>
          </w:p>
        </w:tc>
      </w:tr>
      <w:tr w:rsidR="00D5747E" w:rsidRPr="00CD6F4A">
        <w:trPr>
          <w:trHeight w:val="360"/>
        </w:trPr>
        <w:tc>
          <w:tcPr>
            <w:tcW w:w="5040" w:type="dxa"/>
          </w:tcPr>
          <w:p w:rsidR="00D5747E" w:rsidRPr="00CD6F4A" w:rsidRDefault="00D5747E" w:rsidP="00E226A7">
            <w:pPr>
              <w:spacing w:before="60" w:after="60"/>
              <w:jc w:val="both"/>
              <w:rPr>
                <w:rFonts w:ascii="Arial" w:hAnsi="Arial"/>
                <w:sz w:val="22"/>
              </w:rPr>
            </w:pPr>
          </w:p>
        </w:tc>
        <w:tc>
          <w:tcPr>
            <w:tcW w:w="1620" w:type="dxa"/>
            <w:tcBorders>
              <w:top w:val="single" w:sz="4" w:space="0" w:color="auto"/>
              <w:bottom w:val="single" w:sz="12" w:space="0" w:color="auto"/>
            </w:tcBorders>
          </w:tcPr>
          <w:p w:rsidR="00D5747E" w:rsidRPr="00CD6F4A" w:rsidRDefault="00D5747E" w:rsidP="00E226A7">
            <w:pPr>
              <w:tabs>
                <w:tab w:val="decimal" w:pos="1242"/>
              </w:tabs>
              <w:spacing w:before="60" w:after="60"/>
              <w:rPr>
                <w:rFonts w:ascii="Arial" w:hAnsi="Arial"/>
                <w:sz w:val="22"/>
              </w:rPr>
            </w:pPr>
            <w:r>
              <w:rPr>
                <w:rFonts w:ascii="Arial" w:hAnsi="Arial"/>
                <w:sz w:val="22"/>
              </w:rPr>
              <w:t>1</w:t>
            </w:r>
            <w:r w:rsidR="006C23C1">
              <w:rPr>
                <w:rFonts w:ascii="Arial" w:hAnsi="Arial"/>
                <w:sz w:val="22"/>
              </w:rPr>
              <w:t>4,726</w:t>
            </w:r>
          </w:p>
        </w:tc>
        <w:tc>
          <w:tcPr>
            <w:tcW w:w="270" w:type="dxa"/>
          </w:tcPr>
          <w:p w:rsidR="00D5747E" w:rsidRPr="00CD6F4A" w:rsidRDefault="00D5747E" w:rsidP="00E226A7">
            <w:pPr>
              <w:spacing w:before="60" w:after="60"/>
              <w:jc w:val="center"/>
              <w:rPr>
                <w:rFonts w:ascii="Arial" w:hAnsi="Arial"/>
                <w:sz w:val="22"/>
              </w:rPr>
            </w:pPr>
          </w:p>
        </w:tc>
        <w:tc>
          <w:tcPr>
            <w:tcW w:w="1620" w:type="dxa"/>
            <w:tcBorders>
              <w:top w:val="single" w:sz="4" w:space="0" w:color="auto"/>
              <w:bottom w:val="single" w:sz="12" w:space="0" w:color="auto"/>
            </w:tcBorders>
          </w:tcPr>
          <w:p w:rsidR="00D5747E" w:rsidRPr="00CD6F4A" w:rsidRDefault="00D5747E" w:rsidP="00E226A7">
            <w:pPr>
              <w:tabs>
                <w:tab w:val="decimal" w:pos="1242"/>
              </w:tabs>
              <w:spacing w:before="60" w:after="60"/>
              <w:rPr>
                <w:rFonts w:ascii="Arial" w:hAnsi="Arial"/>
                <w:sz w:val="22"/>
              </w:rPr>
            </w:pPr>
            <w:r>
              <w:rPr>
                <w:rFonts w:ascii="Arial" w:hAnsi="Arial"/>
                <w:sz w:val="22"/>
              </w:rPr>
              <w:t>2</w:t>
            </w:r>
            <w:r w:rsidR="006C23C1">
              <w:rPr>
                <w:rFonts w:ascii="Arial" w:hAnsi="Arial"/>
                <w:sz w:val="22"/>
              </w:rPr>
              <w:t>7,362</w:t>
            </w:r>
          </w:p>
        </w:tc>
      </w:tr>
    </w:tbl>
    <w:p w:rsidR="002F72DF" w:rsidRPr="00CD6F4A" w:rsidRDefault="002F72DF" w:rsidP="00646D1E">
      <w:pPr>
        <w:ind w:left="720"/>
        <w:jc w:val="both"/>
        <w:rPr>
          <w:rFonts w:ascii="Arial" w:hAnsi="Arial"/>
          <w:sz w:val="22"/>
        </w:rPr>
      </w:pPr>
    </w:p>
    <w:p w:rsidR="00FD67DC" w:rsidRPr="00CD6F4A" w:rsidRDefault="009528B9" w:rsidP="00FA6856">
      <w:pPr>
        <w:ind w:left="720"/>
        <w:jc w:val="both"/>
        <w:rPr>
          <w:rFonts w:ascii="Arial" w:hAnsi="Arial" w:cs="Arial"/>
          <w:sz w:val="22"/>
          <w:szCs w:val="22"/>
        </w:rPr>
      </w:pPr>
      <w:r w:rsidRPr="00CD6F4A">
        <w:rPr>
          <w:rFonts w:ascii="Arial" w:hAnsi="Arial" w:cs="Arial"/>
          <w:sz w:val="22"/>
          <w:szCs w:val="22"/>
        </w:rPr>
        <w:t>The taxation charge of the Group for the financial year to date reflects an effective tax rate which is higher than the statutory income tax rate mainly due to tax losses of certain subsidiaries which are not available for group relief.</w:t>
      </w:r>
    </w:p>
    <w:p w:rsidR="002F72DF" w:rsidRPr="00CD6F4A" w:rsidRDefault="002F72DF">
      <w:pPr>
        <w:jc w:val="both"/>
        <w:rPr>
          <w:rFonts w:ascii="Arial" w:hAnsi="Arial"/>
          <w:b/>
          <w:sz w:val="22"/>
        </w:rPr>
      </w:pPr>
    </w:p>
    <w:p w:rsidR="00FA6856" w:rsidRPr="00CD6F4A" w:rsidRDefault="00FA6856">
      <w:pPr>
        <w:jc w:val="both"/>
        <w:rPr>
          <w:rFonts w:ascii="Arial" w:hAnsi="Arial"/>
          <w:b/>
          <w:sz w:val="22"/>
        </w:rPr>
      </w:pPr>
    </w:p>
    <w:p w:rsidR="002F72DF" w:rsidRPr="00CD6F4A" w:rsidRDefault="00471B3B" w:rsidP="00DF49EA">
      <w:pPr>
        <w:numPr>
          <w:ilvl w:val="0"/>
          <w:numId w:val="45"/>
        </w:numPr>
        <w:tabs>
          <w:tab w:val="clear" w:pos="960"/>
        </w:tabs>
        <w:ind w:left="720" w:hanging="720"/>
        <w:jc w:val="both"/>
        <w:rPr>
          <w:rFonts w:ascii="Arial" w:hAnsi="Arial"/>
          <w:b/>
          <w:sz w:val="22"/>
        </w:rPr>
      </w:pPr>
      <w:smartTag w:uri="urn:schemas-microsoft-com:office:smarttags" w:element="place">
        <w:smartTag w:uri="urn:schemas-microsoft-com:office:smarttags" w:element="City">
          <w:r w:rsidRPr="00CD6F4A">
            <w:rPr>
              <w:rFonts w:ascii="Arial" w:hAnsi="Arial"/>
              <w:b/>
              <w:sz w:val="22"/>
            </w:rPr>
            <w:t>Sale</w:t>
          </w:r>
        </w:smartTag>
      </w:smartTag>
      <w:r w:rsidRPr="00CD6F4A">
        <w:rPr>
          <w:rFonts w:ascii="Arial" w:hAnsi="Arial"/>
          <w:b/>
          <w:sz w:val="22"/>
        </w:rPr>
        <w:t xml:space="preserve"> of Unquoted Investments</w:t>
      </w:r>
      <w:r w:rsidR="002F72DF" w:rsidRPr="00CD6F4A">
        <w:rPr>
          <w:rFonts w:ascii="Arial" w:hAnsi="Arial"/>
          <w:b/>
          <w:sz w:val="22"/>
        </w:rPr>
        <w:t xml:space="preserve"> and/</w:t>
      </w:r>
      <w:r w:rsidR="004B319C" w:rsidRPr="00CD6F4A">
        <w:rPr>
          <w:rFonts w:ascii="Arial" w:hAnsi="Arial"/>
          <w:b/>
          <w:sz w:val="22"/>
        </w:rPr>
        <w:t>o</w:t>
      </w:r>
      <w:r w:rsidR="002F72DF" w:rsidRPr="00CD6F4A">
        <w:rPr>
          <w:rFonts w:ascii="Arial" w:hAnsi="Arial"/>
          <w:b/>
          <w:sz w:val="22"/>
        </w:rPr>
        <w:t xml:space="preserve">r </w:t>
      </w:r>
      <w:r w:rsidR="004B319C" w:rsidRPr="00CD6F4A">
        <w:rPr>
          <w:rFonts w:ascii="Arial" w:hAnsi="Arial"/>
          <w:b/>
          <w:sz w:val="22"/>
        </w:rPr>
        <w:t>P</w:t>
      </w:r>
      <w:r w:rsidR="002F72DF" w:rsidRPr="00CD6F4A">
        <w:rPr>
          <w:rFonts w:ascii="Arial" w:hAnsi="Arial"/>
          <w:b/>
          <w:sz w:val="22"/>
        </w:rPr>
        <w:t>roperties</w:t>
      </w:r>
    </w:p>
    <w:p w:rsidR="002F72DF" w:rsidRPr="00CD6F4A" w:rsidRDefault="002F72DF">
      <w:pPr>
        <w:tabs>
          <w:tab w:val="left" w:pos="1080"/>
        </w:tabs>
        <w:ind w:left="360"/>
        <w:jc w:val="both"/>
        <w:rPr>
          <w:rFonts w:ascii="Arial" w:hAnsi="Arial"/>
          <w:b/>
          <w:sz w:val="22"/>
        </w:rPr>
      </w:pPr>
    </w:p>
    <w:p w:rsidR="00273B54" w:rsidRPr="00CD6F4A" w:rsidRDefault="00273B54" w:rsidP="00273B54">
      <w:pPr>
        <w:pStyle w:val="BodyTextIndent3"/>
      </w:pPr>
      <w:r w:rsidRPr="00CD6F4A">
        <w:rPr>
          <w:rFonts w:cs="Arial"/>
          <w:szCs w:val="22"/>
        </w:rPr>
        <w:t>There was no sale of unquoted investments and/or properties during the current financial year to date</w:t>
      </w:r>
      <w:r>
        <w:rPr>
          <w:rFonts w:cs="Arial"/>
          <w:szCs w:val="22"/>
        </w:rPr>
        <w:t xml:space="preserve"> except for the disposal of a parcel of leasehold land for a cash consideration of RM1.4 million</w:t>
      </w:r>
      <w:r w:rsidRPr="00CD6F4A">
        <w:rPr>
          <w:rFonts w:cs="Arial"/>
          <w:szCs w:val="22"/>
        </w:rPr>
        <w:t>.</w:t>
      </w:r>
      <w:r>
        <w:rPr>
          <w:rFonts w:cs="Arial"/>
          <w:szCs w:val="22"/>
        </w:rPr>
        <w:t xml:space="preserve"> The gain arising from the disposal amounted to RM0.4 million.</w:t>
      </w:r>
    </w:p>
    <w:p w:rsidR="009B058F" w:rsidRPr="00CD6F4A" w:rsidRDefault="009B058F" w:rsidP="00AC5B53">
      <w:pPr>
        <w:pStyle w:val="BodyTextIndent3"/>
        <w:rPr>
          <w:rFonts w:cs="Arial"/>
          <w:szCs w:val="22"/>
        </w:rPr>
      </w:pPr>
    </w:p>
    <w:p w:rsidR="001A7E28" w:rsidRPr="00CD6F4A" w:rsidRDefault="001A7E28">
      <w:pPr>
        <w:ind w:left="720"/>
        <w:jc w:val="both"/>
        <w:rPr>
          <w:rFonts w:ascii="Arial" w:hAnsi="Arial"/>
          <w:sz w:val="22"/>
        </w:rPr>
      </w:pPr>
    </w:p>
    <w:p w:rsidR="001A7E28" w:rsidRPr="00CD6F4A" w:rsidRDefault="001A7E28" w:rsidP="00DF49EA">
      <w:pPr>
        <w:numPr>
          <w:ilvl w:val="0"/>
          <w:numId w:val="45"/>
        </w:numPr>
        <w:tabs>
          <w:tab w:val="clear" w:pos="960"/>
        </w:tabs>
        <w:ind w:left="720" w:hanging="720"/>
        <w:jc w:val="both"/>
        <w:rPr>
          <w:rFonts w:ascii="Arial" w:hAnsi="Arial"/>
          <w:b/>
          <w:sz w:val="22"/>
        </w:rPr>
      </w:pPr>
      <w:r w:rsidRPr="00CD6F4A">
        <w:rPr>
          <w:rFonts w:ascii="Arial" w:hAnsi="Arial"/>
          <w:b/>
          <w:sz w:val="22"/>
        </w:rPr>
        <w:t>Quoted Securities other than Securities in Existing Subsidiaries and Associated Company</w:t>
      </w:r>
      <w:r w:rsidRPr="00CD6F4A">
        <w:rPr>
          <w:rFonts w:ascii="Arial" w:hAnsi="Arial"/>
          <w:b/>
          <w:sz w:val="22"/>
        </w:rPr>
        <w:tab/>
      </w:r>
    </w:p>
    <w:p w:rsidR="001A7E28" w:rsidRPr="00CD6F4A" w:rsidRDefault="001A7E28" w:rsidP="001A7E28">
      <w:pPr>
        <w:ind w:left="1080" w:hanging="720"/>
        <w:jc w:val="both"/>
        <w:rPr>
          <w:rFonts w:ascii="Arial" w:hAnsi="Arial"/>
          <w:b/>
          <w:sz w:val="22"/>
        </w:rPr>
      </w:pPr>
    </w:p>
    <w:p w:rsidR="00C05078" w:rsidRPr="00CD6F4A" w:rsidRDefault="00C05078" w:rsidP="00C05078">
      <w:pPr>
        <w:numPr>
          <w:ilvl w:val="0"/>
          <w:numId w:val="29"/>
        </w:numPr>
        <w:jc w:val="both"/>
        <w:rPr>
          <w:rFonts w:ascii="Arial" w:hAnsi="Arial"/>
          <w:sz w:val="22"/>
        </w:rPr>
      </w:pPr>
      <w:r w:rsidRPr="00CD6F4A">
        <w:rPr>
          <w:rFonts w:ascii="Arial" w:hAnsi="Arial"/>
          <w:sz w:val="22"/>
        </w:rPr>
        <w:t xml:space="preserve">There was no purchase </w:t>
      </w:r>
      <w:r w:rsidR="00364AE8" w:rsidRPr="00CD6F4A">
        <w:rPr>
          <w:rFonts w:ascii="Arial" w:hAnsi="Arial"/>
          <w:sz w:val="22"/>
        </w:rPr>
        <w:t>or</w:t>
      </w:r>
      <w:r w:rsidRPr="00CD6F4A">
        <w:rPr>
          <w:rFonts w:ascii="Arial" w:hAnsi="Arial"/>
          <w:sz w:val="22"/>
        </w:rPr>
        <w:t xml:space="preserve"> disposal of quoted securities.</w:t>
      </w:r>
    </w:p>
    <w:p w:rsidR="001A7E28" w:rsidRPr="00CD6F4A" w:rsidRDefault="001A7E28" w:rsidP="001A7E28">
      <w:pPr>
        <w:jc w:val="both"/>
        <w:rPr>
          <w:rFonts w:ascii="Arial" w:hAnsi="Arial"/>
          <w:sz w:val="22"/>
        </w:rPr>
      </w:pPr>
    </w:p>
    <w:p w:rsidR="005B1019" w:rsidRPr="00CD6F4A" w:rsidRDefault="005B1019" w:rsidP="005B1019">
      <w:pPr>
        <w:numPr>
          <w:ilvl w:val="0"/>
          <w:numId w:val="29"/>
        </w:numPr>
        <w:jc w:val="both"/>
        <w:rPr>
          <w:rFonts w:ascii="Arial" w:hAnsi="Arial"/>
          <w:sz w:val="22"/>
        </w:rPr>
      </w:pPr>
      <w:r w:rsidRPr="00CD6F4A">
        <w:rPr>
          <w:rFonts w:ascii="Arial" w:hAnsi="Arial"/>
          <w:sz w:val="22"/>
        </w:rPr>
        <w:t xml:space="preserve">Investments in quoted securities </w:t>
      </w:r>
      <w:r w:rsidR="00B25A94" w:rsidRPr="00CD6F4A">
        <w:rPr>
          <w:rFonts w:ascii="Arial" w:hAnsi="Arial"/>
          <w:sz w:val="22"/>
        </w:rPr>
        <w:t xml:space="preserve">classified as available-for-sale investments </w:t>
      </w:r>
      <w:r w:rsidRPr="00CD6F4A">
        <w:rPr>
          <w:rFonts w:ascii="Arial" w:hAnsi="Arial"/>
          <w:sz w:val="22"/>
        </w:rPr>
        <w:t>as at the end of the current quarter were as follows:-</w:t>
      </w:r>
    </w:p>
    <w:p w:rsidR="00C05078" w:rsidRPr="00CD6F4A" w:rsidRDefault="00C05078" w:rsidP="00C05078">
      <w:pPr>
        <w:ind w:left="720"/>
        <w:jc w:val="both"/>
        <w:rPr>
          <w:rFonts w:ascii="Arial" w:hAnsi="Arial"/>
          <w:sz w:val="22"/>
        </w:rPr>
      </w:pPr>
    </w:p>
    <w:tbl>
      <w:tblPr>
        <w:tblpPr w:leftFromText="180" w:rightFromText="180" w:vertAnchor="text" w:tblpY="1"/>
        <w:tblOverlap w:val="never"/>
        <w:tblW w:w="0" w:type="auto"/>
        <w:tblInd w:w="1548" w:type="dxa"/>
        <w:tblLayout w:type="fixed"/>
        <w:tblLook w:val="0000"/>
      </w:tblPr>
      <w:tblGrid>
        <w:gridCol w:w="4860"/>
        <w:gridCol w:w="1620"/>
      </w:tblGrid>
      <w:tr w:rsidR="005B1019" w:rsidRPr="00CD6F4A">
        <w:trPr>
          <w:trHeight w:val="360"/>
        </w:trPr>
        <w:tc>
          <w:tcPr>
            <w:tcW w:w="4860" w:type="dxa"/>
          </w:tcPr>
          <w:p w:rsidR="005B1019" w:rsidRPr="00CD6F4A" w:rsidRDefault="005B1019" w:rsidP="00E226A7">
            <w:pPr>
              <w:spacing w:before="60" w:after="60"/>
              <w:jc w:val="both"/>
              <w:rPr>
                <w:rFonts w:ascii="Arial" w:hAnsi="Arial"/>
                <w:sz w:val="22"/>
              </w:rPr>
            </w:pPr>
          </w:p>
        </w:tc>
        <w:tc>
          <w:tcPr>
            <w:tcW w:w="1620" w:type="dxa"/>
          </w:tcPr>
          <w:p w:rsidR="005B1019" w:rsidRPr="00CD6F4A" w:rsidRDefault="005B1019" w:rsidP="00E226A7">
            <w:pPr>
              <w:spacing w:before="60" w:after="60"/>
              <w:jc w:val="right"/>
              <w:rPr>
                <w:rFonts w:ascii="Arial" w:hAnsi="Arial"/>
                <w:b/>
                <w:sz w:val="22"/>
              </w:rPr>
            </w:pPr>
            <w:r w:rsidRPr="00CD6F4A">
              <w:rPr>
                <w:rFonts w:ascii="Arial" w:hAnsi="Arial"/>
                <w:b/>
                <w:sz w:val="22"/>
              </w:rPr>
              <w:t>RM'000</w:t>
            </w:r>
          </w:p>
        </w:tc>
      </w:tr>
      <w:tr w:rsidR="005B1019" w:rsidRPr="00CD6F4A">
        <w:trPr>
          <w:trHeight w:val="360"/>
        </w:trPr>
        <w:tc>
          <w:tcPr>
            <w:tcW w:w="4860" w:type="dxa"/>
          </w:tcPr>
          <w:p w:rsidR="005B1019" w:rsidRPr="00CD6F4A" w:rsidRDefault="005B1019" w:rsidP="00E226A7">
            <w:pPr>
              <w:spacing w:before="60" w:after="60"/>
              <w:jc w:val="both"/>
              <w:rPr>
                <w:rFonts w:ascii="Arial" w:hAnsi="Arial"/>
                <w:sz w:val="22"/>
              </w:rPr>
            </w:pPr>
            <w:r w:rsidRPr="00CD6F4A">
              <w:rPr>
                <w:rFonts w:ascii="Arial" w:hAnsi="Arial"/>
                <w:sz w:val="22"/>
              </w:rPr>
              <w:t>(</w:t>
            </w:r>
            <w:proofErr w:type="spellStart"/>
            <w:r w:rsidRPr="00CD6F4A">
              <w:rPr>
                <w:rFonts w:ascii="Arial" w:hAnsi="Arial"/>
                <w:sz w:val="22"/>
              </w:rPr>
              <w:t>i</w:t>
            </w:r>
            <w:proofErr w:type="spellEnd"/>
            <w:r w:rsidRPr="00CD6F4A">
              <w:rPr>
                <w:rFonts w:ascii="Arial" w:hAnsi="Arial"/>
                <w:sz w:val="22"/>
              </w:rPr>
              <w:t>)    at cost</w:t>
            </w:r>
          </w:p>
        </w:tc>
        <w:tc>
          <w:tcPr>
            <w:tcW w:w="1620" w:type="dxa"/>
          </w:tcPr>
          <w:p w:rsidR="005B1019" w:rsidRPr="00CD6F4A" w:rsidRDefault="00CA5670" w:rsidP="00E226A7">
            <w:pPr>
              <w:spacing w:before="60" w:after="60"/>
              <w:jc w:val="right"/>
              <w:rPr>
                <w:rFonts w:ascii="Arial" w:hAnsi="Arial"/>
                <w:sz w:val="22"/>
              </w:rPr>
            </w:pPr>
            <w:r w:rsidRPr="00CD6F4A">
              <w:rPr>
                <w:rFonts w:ascii="Arial" w:hAnsi="Arial"/>
                <w:sz w:val="22"/>
              </w:rPr>
              <w:t>2,312</w:t>
            </w:r>
          </w:p>
        </w:tc>
      </w:tr>
      <w:tr w:rsidR="005B1019" w:rsidRPr="00CD6F4A">
        <w:trPr>
          <w:trHeight w:val="360"/>
        </w:trPr>
        <w:tc>
          <w:tcPr>
            <w:tcW w:w="4860" w:type="dxa"/>
          </w:tcPr>
          <w:p w:rsidR="005B1019" w:rsidRPr="00CD6F4A" w:rsidRDefault="005B1019" w:rsidP="00E226A7">
            <w:pPr>
              <w:spacing w:before="60" w:after="60"/>
              <w:jc w:val="both"/>
              <w:rPr>
                <w:rFonts w:ascii="Arial" w:hAnsi="Arial"/>
                <w:sz w:val="22"/>
              </w:rPr>
            </w:pPr>
            <w:r w:rsidRPr="00CD6F4A">
              <w:rPr>
                <w:rFonts w:ascii="Arial" w:hAnsi="Arial"/>
                <w:sz w:val="22"/>
              </w:rPr>
              <w:t>(ii)   at carrying value</w:t>
            </w:r>
          </w:p>
        </w:tc>
        <w:tc>
          <w:tcPr>
            <w:tcW w:w="1620" w:type="dxa"/>
          </w:tcPr>
          <w:p w:rsidR="005B1019" w:rsidRPr="00CD6F4A" w:rsidRDefault="00D5747E" w:rsidP="00E226A7">
            <w:pPr>
              <w:spacing w:before="60" w:after="60"/>
              <w:jc w:val="right"/>
              <w:rPr>
                <w:rFonts w:ascii="Arial" w:hAnsi="Arial"/>
                <w:sz w:val="22"/>
              </w:rPr>
            </w:pPr>
            <w:r>
              <w:rPr>
                <w:rFonts w:ascii="Arial" w:hAnsi="Arial"/>
                <w:sz w:val="22"/>
              </w:rPr>
              <w:t>69</w:t>
            </w:r>
            <w:r w:rsidR="001528FD">
              <w:rPr>
                <w:rFonts w:ascii="Arial" w:hAnsi="Arial"/>
                <w:sz w:val="22"/>
              </w:rPr>
              <w:t>7</w:t>
            </w:r>
          </w:p>
        </w:tc>
      </w:tr>
      <w:tr w:rsidR="005B1019" w:rsidRPr="00CD6F4A">
        <w:trPr>
          <w:trHeight w:val="360"/>
        </w:trPr>
        <w:tc>
          <w:tcPr>
            <w:tcW w:w="4860" w:type="dxa"/>
          </w:tcPr>
          <w:p w:rsidR="005B1019" w:rsidRPr="00CD6F4A" w:rsidRDefault="005B1019" w:rsidP="00E226A7">
            <w:pPr>
              <w:spacing w:before="60" w:after="60"/>
              <w:jc w:val="both"/>
              <w:rPr>
                <w:rFonts w:ascii="Arial" w:hAnsi="Arial"/>
                <w:sz w:val="22"/>
              </w:rPr>
            </w:pPr>
            <w:r w:rsidRPr="00CD6F4A">
              <w:rPr>
                <w:rFonts w:ascii="Arial" w:hAnsi="Arial"/>
                <w:sz w:val="22"/>
              </w:rPr>
              <w:t xml:space="preserve">(iii)  at </w:t>
            </w:r>
            <w:r w:rsidR="0041593D" w:rsidRPr="00CD6F4A">
              <w:rPr>
                <w:rFonts w:ascii="Arial" w:hAnsi="Arial"/>
                <w:sz w:val="22"/>
              </w:rPr>
              <w:t>fair</w:t>
            </w:r>
            <w:r w:rsidRPr="00CD6F4A">
              <w:rPr>
                <w:rFonts w:ascii="Arial" w:hAnsi="Arial"/>
                <w:sz w:val="22"/>
              </w:rPr>
              <w:t xml:space="preserve"> value</w:t>
            </w:r>
          </w:p>
        </w:tc>
        <w:tc>
          <w:tcPr>
            <w:tcW w:w="1620" w:type="dxa"/>
          </w:tcPr>
          <w:p w:rsidR="005B1019" w:rsidRPr="00CD6F4A" w:rsidRDefault="00D5747E" w:rsidP="00E226A7">
            <w:pPr>
              <w:spacing w:before="60" w:after="60"/>
              <w:jc w:val="right"/>
              <w:rPr>
                <w:rFonts w:ascii="Arial" w:hAnsi="Arial"/>
                <w:sz w:val="22"/>
              </w:rPr>
            </w:pPr>
            <w:r>
              <w:rPr>
                <w:rFonts w:ascii="Arial" w:hAnsi="Arial"/>
                <w:sz w:val="22"/>
              </w:rPr>
              <w:t>69</w:t>
            </w:r>
            <w:r w:rsidR="001528FD">
              <w:rPr>
                <w:rFonts w:ascii="Arial" w:hAnsi="Arial"/>
                <w:sz w:val="22"/>
              </w:rPr>
              <w:t>7</w:t>
            </w:r>
          </w:p>
        </w:tc>
      </w:tr>
    </w:tbl>
    <w:p w:rsidR="005B1019" w:rsidRPr="00CD6F4A" w:rsidRDefault="005B1019" w:rsidP="005B1019">
      <w:pPr>
        <w:jc w:val="both"/>
        <w:rPr>
          <w:rFonts w:ascii="Arial" w:hAnsi="Arial"/>
          <w:b/>
          <w:sz w:val="22"/>
        </w:rPr>
      </w:pPr>
      <w:r w:rsidRPr="00CD6F4A">
        <w:rPr>
          <w:rFonts w:ascii="Arial" w:hAnsi="Arial"/>
          <w:b/>
          <w:sz w:val="22"/>
        </w:rPr>
        <w:br w:type="textWrapping" w:clear="all"/>
      </w:r>
    </w:p>
    <w:p w:rsidR="009D4AC7" w:rsidRPr="00CD6F4A" w:rsidRDefault="0041593D" w:rsidP="0041593D">
      <w:pPr>
        <w:ind w:left="1440" w:hanging="720"/>
        <w:jc w:val="both"/>
        <w:rPr>
          <w:rFonts w:ascii="Arial" w:hAnsi="Arial"/>
          <w:sz w:val="22"/>
        </w:rPr>
      </w:pPr>
      <w:r w:rsidRPr="00CD6F4A">
        <w:rPr>
          <w:rFonts w:ascii="Arial" w:hAnsi="Arial"/>
          <w:sz w:val="22"/>
        </w:rPr>
        <w:t>(c)</w:t>
      </w:r>
      <w:r w:rsidRPr="00CD6F4A">
        <w:rPr>
          <w:rFonts w:ascii="Arial" w:hAnsi="Arial"/>
          <w:sz w:val="22"/>
        </w:rPr>
        <w:tab/>
        <w:t xml:space="preserve">The </w:t>
      </w:r>
      <w:r w:rsidR="00C40661">
        <w:rPr>
          <w:rFonts w:ascii="Arial" w:hAnsi="Arial"/>
          <w:sz w:val="22"/>
        </w:rPr>
        <w:t>gain</w:t>
      </w:r>
      <w:r w:rsidR="00950CF6" w:rsidRPr="00CD6F4A">
        <w:rPr>
          <w:rFonts w:ascii="Arial" w:hAnsi="Arial"/>
          <w:sz w:val="22"/>
        </w:rPr>
        <w:t xml:space="preserve"> on </w:t>
      </w:r>
      <w:r w:rsidRPr="00CD6F4A">
        <w:rPr>
          <w:rFonts w:ascii="Arial" w:hAnsi="Arial"/>
          <w:sz w:val="22"/>
        </w:rPr>
        <w:t xml:space="preserve">fair value </w:t>
      </w:r>
      <w:r w:rsidR="00950CF6" w:rsidRPr="00CD6F4A">
        <w:rPr>
          <w:rFonts w:ascii="Arial" w:hAnsi="Arial"/>
          <w:sz w:val="22"/>
        </w:rPr>
        <w:t>changes</w:t>
      </w:r>
      <w:r w:rsidRPr="00CD6F4A">
        <w:rPr>
          <w:rFonts w:ascii="Arial" w:hAnsi="Arial"/>
          <w:sz w:val="22"/>
        </w:rPr>
        <w:t xml:space="preserve"> of the availab</w:t>
      </w:r>
      <w:r w:rsidR="008F7ED2" w:rsidRPr="00CD6F4A">
        <w:rPr>
          <w:rFonts w:ascii="Arial" w:hAnsi="Arial"/>
          <w:sz w:val="22"/>
        </w:rPr>
        <w:t xml:space="preserve">le-for-sale investments </w:t>
      </w:r>
      <w:proofErr w:type="spellStart"/>
      <w:r w:rsidR="008F7ED2" w:rsidRPr="00CD6F4A">
        <w:rPr>
          <w:rFonts w:ascii="Arial" w:hAnsi="Arial"/>
          <w:sz w:val="22"/>
        </w:rPr>
        <w:t>recognised</w:t>
      </w:r>
      <w:proofErr w:type="spellEnd"/>
      <w:r w:rsidR="008F7ED2" w:rsidRPr="00CD6F4A">
        <w:rPr>
          <w:rFonts w:ascii="Arial" w:hAnsi="Arial"/>
          <w:sz w:val="22"/>
        </w:rPr>
        <w:t xml:space="preserve"> in</w:t>
      </w:r>
      <w:r w:rsidRPr="00CD6F4A">
        <w:rPr>
          <w:rFonts w:ascii="Arial" w:hAnsi="Arial"/>
          <w:sz w:val="22"/>
        </w:rPr>
        <w:t xml:space="preserve"> </w:t>
      </w:r>
      <w:r w:rsidR="008F7ED2" w:rsidRPr="00CD6F4A">
        <w:rPr>
          <w:rFonts w:ascii="Arial" w:hAnsi="Arial"/>
          <w:sz w:val="22"/>
        </w:rPr>
        <w:t xml:space="preserve">other comprehensive income </w:t>
      </w:r>
      <w:r w:rsidRPr="00CD6F4A">
        <w:rPr>
          <w:rFonts w:ascii="Arial" w:hAnsi="Arial"/>
          <w:sz w:val="22"/>
        </w:rPr>
        <w:t>for the current financial year to date</w:t>
      </w:r>
      <w:r w:rsidR="006A574F">
        <w:rPr>
          <w:rFonts w:ascii="Arial" w:hAnsi="Arial"/>
          <w:sz w:val="22"/>
        </w:rPr>
        <w:t xml:space="preserve"> amo</w:t>
      </w:r>
      <w:r w:rsidR="00F4541A">
        <w:rPr>
          <w:rFonts w:ascii="Arial" w:hAnsi="Arial"/>
          <w:sz w:val="22"/>
        </w:rPr>
        <w:t>unted to RM</w:t>
      </w:r>
      <w:r w:rsidR="00F4541A">
        <w:rPr>
          <w:rFonts w:ascii="Arial" w:hAnsi="Arial"/>
          <w:sz w:val="22"/>
        </w:rPr>
        <w:softHyphen/>
      </w:r>
      <w:r w:rsidR="00F4541A">
        <w:rPr>
          <w:rFonts w:ascii="Arial" w:hAnsi="Arial"/>
          <w:sz w:val="22"/>
        </w:rPr>
        <w:softHyphen/>
      </w:r>
      <w:r w:rsidR="00F4541A">
        <w:rPr>
          <w:rFonts w:ascii="Arial" w:hAnsi="Arial"/>
          <w:sz w:val="22"/>
        </w:rPr>
        <w:softHyphen/>
      </w:r>
      <w:r w:rsidR="00F4541A">
        <w:rPr>
          <w:rFonts w:ascii="Arial" w:hAnsi="Arial"/>
          <w:sz w:val="22"/>
        </w:rPr>
        <w:softHyphen/>
      </w:r>
      <w:r w:rsidR="00F4541A">
        <w:rPr>
          <w:rFonts w:ascii="Arial" w:hAnsi="Arial"/>
          <w:sz w:val="22"/>
        </w:rPr>
        <w:softHyphen/>
      </w:r>
      <w:r w:rsidR="00F4541A">
        <w:rPr>
          <w:rFonts w:ascii="Arial" w:hAnsi="Arial"/>
          <w:sz w:val="22"/>
        </w:rPr>
        <w:softHyphen/>
      </w:r>
      <w:r w:rsidR="00F4541A">
        <w:rPr>
          <w:rFonts w:ascii="Arial" w:hAnsi="Arial"/>
          <w:sz w:val="22"/>
        </w:rPr>
        <w:softHyphen/>
      </w:r>
      <w:r w:rsidR="00F4541A">
        <w:rPr>
          <w:rFonts w:ascii="Arial" w:hAnsi="Arial"/>
          <w:sz w:val="22"/>
        </w:rPr>
        <w:softHyphen/>
      </w:r>
      <w:r w:rsidR="00F4541A">
        <w:rPr>
          <w:rFonts w:ascii="Arial" w:hAnsi="Arial"/>
          <w:sz w:val="22"/>
        </w:rPr>
        <w:softHyphen/>
      </w:r>
      <w:r w:rsidR="00C40661">
        <w:rPr>
          <w:rFonts w:ascii="Arial" w:hAnsi="Arial"/>
          <w:sz w:val="22"/>
        </w:rPr>
        <w:t>50</w:t>
      </w:r>
      <w:r w:rsidR="00F4541A">
        <w:rPr>
          <w:rFonts w:ascii="Arial" w:hAnsi="Arial"/>
          <w:sz w:val="22"/>
        </w:rPr>
        <w:t>,000</w:t>
      </w:r>
      <w:r w:rsidR="00F45545">
        <w:rPr>
          <w:rFonts w:ascii="Arial" w:hAnsi="Arial"/>
          <w:sz w:val="22"/>
        </w:rPr>
        <w:t>.</w:t>
      </w:r>
    </w:p>
    <w:p w:rsidR="00F50770" w:rsidRPr="00CD6F4A" w:rsidRDefault="00F50770" w:rsidP="008E1CB7">
      <w:pPr>
        <w:ind w:left="720"/>
        <w:jc w:val="both"/>
        <w:rPr>
          <w:rFonts w:ascii="Arial" w:hAnsi="Arial"/>
          <w:b/>
          <w:sz w:val="22"/>
        </w:rPr>
      </w:pPr>
    </w:p>
    <w:p w:rsidR="00F50770" w:rsidRPr="00CD6F4A" w:rsidRDefault="00F50770" w:rsidP="008E1CB7">
      <w:pPr>
        <w:ind w:left="720"/>
        <w:jc w:val="both"/>
        <w:rPr>
          <w:rFonts w:ascii="Arial" w:hAnsi="Arial"/>
          <w:b/>
          <w:sz w:val="22"/>
        </w:rPr>
      </w:pPr>
    </w:p>
    <w:p w:rsidR="00F50770" w:rsidRPr="00CD6F4A" w:rsidRDefault="00F50770" w:rsidP="008E1CB7">
      <w:pPr>
        <w:ind w:left="720"/>
        <w:jc w:val="both"/>
        <w:rPr>
          <w:rFonts w:ascii="Arial" w:hAnsi="Arial"/>
          <w:b/>
          <w:sz w:val="22"/>
        </w:rPr>
      </w:pPr>
    </w:p>
    <w:p w:rsidR="00F50770" w:rsidRPr="00CD6F4A" w:rsidRDefault="00AC60B0" w:rsidP="008E1CB7">
      <w:pPr>
        <w:ind w:left="720"/>
        <w:jc w:val="both"/>
        <w:rPr>
          <w:rFonts w:ascii="Arial" w:hAnsi="Arial"/>
          <w:b/>
          <w:sz w:val="22"/>
        </w:rPr>
      </w:pPr>
      <w:r w:rsidRPr="00CD6F4A">
        <w:rPr>
          <w:rFonts w:ascii="Arial" w:hAnsi="Arial"/>
          <w:b/>
          <w:sz w:val="22"/>
        </w:rPr>
        <w:br w:type="page"/>
      </w:r>
    </w:p>
    <w:p w:rsidR="005205FB" w:rsidRPr="00CD6F4A" w:rsidRDefault="00471B3B" w:rsidP="00471B3B">
      <w:pPr>
        <w:jc w:val="both"/>
        <w:rPr>
          <w:rFonts w:ascii="Arial" w:hAnsi="Arial"/>
          <w:b/>
          <w:sz w:val="22"/>
        </w:rPr>
      </w:pPr>
      <w:r w:rsidRPr="00CD6F4A">
        <w:rPr>
          <w:rFonts w:ascii="Arial" w:hAnsi="Arial"/>
          <w:b/>
          <w:sz w:val="22"/>
        </w:rPr>
        <w:lastRenderedPageBreak/>
        <w:t>8. (</w:t>
      </w:r>
      <w:proofErr w:type="gramStart"/>
      <w:r w:rsidRPr="00CD6F4A">
        <w:rPr>
          <w:rFonts w:ascii="Arial" w:hAnsi="Arial"/>
          <w:b/>
          <w:sz w:val="22"/>
        </w:rPr>
        <w:t>a</w:t>
      </w:r>
      <w:proofErr w:type="gramEnd"/>
      <w:r w:rsidRPr="00CD6F4A">
        <w:rPr>
          <w:rFonts w:ascii="Arial" w:hAnsi="Arial"/>
          <w:b/>
          <w:sz w:val="22"/>
        </w:rPr>
        <w:t>)</w:t>
      </w:r>
      <w:r w:rsidRPr="00CD6F4A">
        <w:rPr>
          <w:rFonts w:ascii="Arial" w:hAnsi="Arial"/>
          <w:b/>
          <w:sz w:val="22"/>
        </w:rPr>
        <w:tab/>
      </w:r>
      <w:r w:rsidR="005205FB" w:rsidRPr="00CD6F4A">
        <w:rPr>
          <w:rFonts w:ascii="Arial" w:hAnsi="Arial"/>
          <w:b/>
          <w:sz w:val="22"/>
        </w:rPr>
        <w:t>Status of Corporate Proposals</w:t>
      </w:r>
      <w:r w:rsidR="005205FB" w:rsidRPr="00CD6F4A">
        <w:rPr>
          <w:rFonts w:ascii="Arial" w:hAnsi="Arial"/>
          <w:b/>
          <w:sz w:val="22"/>
        </w:rPr>
        <w:tab/>
      </w:r>
    </w:p>
    <w:p w:rsidR="005205FB" w:rsidRPr="00CD6F4A" w:rsidRDefault="005205FB" w:rsidP="005205FB">
      <w:pPr>
        <w:tabs>
          <w:tab w:val="left" w:pos="720"/>
        </w:tabs>
        <w:ind w:left="720"/>
        <w:jc w:val="both"/>
        <w:rPr>
          <w:rFonts w:ascii="Arial" w:hAnsi="Arial"/>
          <w:b/>
          <w:sz w:val="22"/>
        </w:rPr>
      </w:pPr>
    </w:p>
    <w:p w:rsidR="00F10B3C" w:rsidRPr="00CD6F4A" w:rsidRDefault="00F10B3C" w:rsidP="00F10B3C">
      <w:pPr>
        <w:ind w:left="720"/>
        <w:jc w:val="both"/>
        <w:rPr>
          <w:rFonts w:ascii="Arial" w:hAnsi="Arial" w:cs="Arial"/>
          <w:sz w:val="22"/>
          <w:szCs w:val="22"/>
        </w:rPr>
      </w:pPr>
      <w:r w:rsidRPr="00CD6F4A">
        <w:rPr>
          <w:rFonts w:ascii="Arial" w:hAnsi="Arial" w:cs="Arial"/>
          <w:sz w:val="22"/>
          <w:szCs w:val="22"/>
        </w:rPr>
        <w:t xml:space="preserve">Save as disclosed below, there was no corporate proposal announced but not completed as at </w:t>
      </w:r>
      <w:r w:rsidR="00632C02" w:rsidRPr="00CD6F4A">
        <w:rPr>
          <w:rFonts w:ascii="Arial" w:hAnsi="Arial" w:cs="Arial"/>
          <w:sz w:val="22"/>
          <w:szCs w:val="22"/>
        </w:rPr>
        <w:t>1</w:t>
      </w:r>
      <w:r w:rsidR="007B7DD8">
        <w:rPr>
          <w:rFonts w:ascii="Arial" w:hAnsi="Arial" w:cs="Arial"/>
          <w:sz w:val="22"/>
          <w:szCs w:val="22"/>
        </w:rPr>
        <w:t>1 August</w:t>
      </w:r>
      <w:r w:rsidR="00632C02" w:rsidRPr="00CD6F4A">
        <w:rPr>
          <w:rFonts w:ascii="Arial" w:hAnsi="Arial" w:cs="Arial"/>
          <w:sz w:val="22"/>
          <w:szCs w:val="22"/>
        </w:rPr>
        <w:t xml:space="preserve"> 2010</w:t>
      </w:r>
      <w:r w:rsidR="006D6334" w:rsidRPr="00CD6F4A">
        <w:rPr>
          <w:rFonts w:ascii="Arial" w:hAnsi="Arial" w:cs="Arial"/>
          <w:sz w:val="22"/>
          <w:szCs w:val="22"/>
        </w:rPr>
        <w:t>, being the latest practicable date</w:t>
      </w:r>
      <w:r w:rsidR="00632C02" w:rsidRPr="00CD6F4A">
        <w:rPr>
          <w:rFonts w:ascii="Arial" w:hAnsi="Arial" w:cs="Arial"/>
          <w:sz w:val="22"/>
          <w:szCs w:val="22"/>
        </w:rPr>
        <w:t>:-</w:t>
      </w:r>
    </w:p>
    <w:p w:rsidR="00F10B3C" w:rsidRPr="00CD6F4A" w:rsidRDefault="00F10B3C" w:rsidP="00F10B3C">
      <w:pPr>
        <w:jc w:val="both"/>
        <w:rPr>
          <w:rFonts w:ascii="Arial" w:hAnsi="Arial"/>
          <w:b/>
          <w:sz w:val="22"/>
        </w:rPr>
      </w:pPr>
    </w:p>
    <w:p w:rsidR="009D4AC7" w:rsidRPr="00CD6F4A" w:rsidRDefault="00A131EC" w:rsidP="00A131EC">
      <w:pPr>
        <w:ind w:left="1440" w:hanging="720"/>
        <w:jc w:val="both"/>
        <w:rPr>
          <w:rFonts w:ascii="Arial" w:hAnsi="Arial" w:cs="Arial"/>
          <w:sz w:val="22"/>
          <w:szCs w:val="22"/>
        </w:rPr>
      </w:pPr>
      <w:r w:rsidRPr="00CD6F4A">
        <w:rPr>
          <w:rFonts w:ascii="Arial" w:hAnsi="Arial" w:cs="Arial"/>
          <w:sz w:val="22"/>
          <w:szCs w:val="22"/>
        </w:rPr>
        <w:t>(</w:t>
      </w:r>
      <w:proofErr w:type="spellStart"/>
      <w:r w:rsidRPr="00CD6F4A">
        <w:rPr>
          <w:rFonts w:ascii="Arial" w:hAnsi="Arial" w:cs="Arial"/>
          <w:sz w:val="22"/>
          <w:szCs w:val="22"/>
        </w:rPr>
        <w:t>i</w:t>
      </w:r>
      <w:proofErr w:type="spellEnd"/>
      <w:r w:rsidRPr="00CD6F4A">
        <w:rPr>
          <w:rFonts w:ascii="Arial" w:hAnsi="Arial" w:cs="Arial"/>
          <w:sz w:val="22"/>
          <w:szCs w:val="22"/>
        </w:rPr>
        <w:t>)</w:t>
      </w:r>
      <w:r w:rsidRPr="00CD6F4A">
        <w:rPr>
          <w:rFonts w:ascii="Arial" w:hAnsi="Arial" w:cs="Arial"/>
          <w:sz w:val="22"/>
          <w:szCs w:val="22"/>
        </w:rPr>
        <w:tab/>
      </w:r>
      <w:r w:rsidR="002723D7" w:rsidRPr="00CD6F4A">
        <w:rPr>
          <w:rFonts w:ascii="Arial" w:hAnsi="Arial" w:cs="Arial"/>
          <w:sz w:val="22"/>
          <w:szCs w:val="22"/>
        </w:rPr>
        <w:t xml:space="preserve">The </w:t>
      </w:r>
      <w:r w:rsidR="005205FB" w:rsidRPr="00CD6F4A">
        <w:rPr>
          <w:rFonts w:ascii="Arial" w:hAnsi="Arial" w:cs="Arial"/>
          <w:sz w:val="22"/>
          <w:szCs w:val="22"/>
        </w:rPr>
        <w:t xml:space="preserve">merger exercise between the plantation subsidiaries of </w:t>
      </w:r>
      <w:proofErr w:type="spellStart"/>
      <w:r w:rsidR="005205FB" w:rsidRPr="00CD6F4A">
        <w:rPr>
          <w:rFonts w:ascii="Arial" w:hAnsi="Arial" w:cs="Arial"/>
          <w:sz w:val="22"/>
          <w:szCs w:val="22"/>
        </w:rPr>
        <w:t>Tradewinds</w:t>
      </w:r>
      <w:proofErr w:type="spellEnd"/>
      <w:r w:rsidR="005205FB" w:rsidRPr="00CD6F4A">
        <w:rPr>
          <w:rFonts w:ascii="Arial" w:hAnsi="Arial" w:cs="Arial"/>
          <w:sz w:val="22"/>
          <w:szCs w:val="22"/>
        </w:rPr>
        <w:t xml:space="preserve"> (M) </w:t>
      </w:r>
      <w:proofErr w:type="spellStart"/>
      <w:r w:rsidR="005205FB" w:rsidRPr="00CD6F4A">
        <w:rPr>
          <w:rFonts w:ascii="Arial" w:hAnsi="Arial" w:cs="Arial"/>
          <w:sz w:val="22"/>
          <w:szCs w:val="22"/>
        </w:rPr>
        <w:t>Berhad</w:t>
      </w:r>
      <w:proofErr w:type="spellEnd"/>
      <w:r w:rsidR="005205FB" w:rsidRPr="00CD6F4A">
        <w:rPr>
          <w:rFonts w:ascii="Arial" w:hAnsi="Arial" w:cs="Arial"/>
          <w:sz w:val="22"/>
          <w:szCs w:val="22"/>
        </w:rPr>
        <w:t xml:space="preserve"> and </w:t>
      </w:r>
      <w:proofErr w:type="spellStart"/>
      <w:r w:rsidR="005205FB" w:rsidRPr="00CD6F4A">
        <w:rPr>
          <w:rFonts w:ascii="Arial" w:hAnsi="Arial" w:cs="Arial"/>
          <w:sz w:val="22"/>
          <w:szCs w:val="22"/>
        </w:rPr>
        <w:t>Johore</w:t>
      </w:r>
      <w:proofErr w:type="spellEnd"/>
      <w:r w:rsidR="005205FB" w:rsidRPr="00CD6F4A">
        <w:rPr>
          <w:rFonts w:ascii="Arial" w:hAnsi="Arial" w:cs="Arial"/>
          <w:sz w:val="22"/>
          <w:szCs w:val="22"/>
        </w:rPr>
        <w:t xml:space="preserve"> Tenggara Oil Palm </w:t>
      </w:r>
      <w:proofErr w:type="spellStart"/>
      <w:r w:rsidR="005205FB" w:rsidRPr="00CD6F4A">
        <w:rPr>
          <w:rFonts w:ascii="Arial" w:hAnsi="Arial" w:cs="Arial"/>
          <w:sz w:val="22"/>
          <w:szCs w:val="22"/>
        </w:rPr>
        <w:t>Berhad</w:t>
      </w:r>
      <w:proofErr w:type="spellEnd"/>
      <w:r w:rsidR="00BB2A19" w:rsidRPr="00CD6F4A">
        <w:rPr>
          <w:rFonts w:ascii="Arial" w:hAnsi="Arial" w:cs="Arial"/>
          <w:sz w:val="22"/>
          <w:szCs w:val="22"/>
        </w:rPr>
        <w:t xml:space="preserve"> </w:t>
      </w:r>
      <w:r w:rsidR="009B5210" w:rsidRPr="00CD6F4A">
        <w:rPr>
          <w:rFonts w:ascii="Arial" w:hAnsi="Arial" w:cs="Arial"/>
          <w:sz w:val="22"/>
          <w:szCs w:val="22"/>
        </w:rPr>
        <w:t xml:space="preserve">was completed on 28 February 2006. The approval of the merger exercise by the Securities Commission was subject to compliance of certain conditions imposed on the landed properties of the Group. The status of compliance </w:t>
      </w:r>
      <w:r w:rsidR="00390385" w:rsidRPr="00CD6F4A">
        <w:rPr>
          <w:rFonts w:ascii="Arial" w:hAnsi="Arial" w:cs="Arial"/>
          <w:sz w:val="22"/>
          <w:szCs w:val="22"/>
        </w:rPr>
        <w:t>was</w:t>
      </w:r>
      <w:r w:rsidR="00903E18" w:rsidRPr="00CD6F4A">
        <w:rPr>
          <w:rFonts w:ascii="Arial" w:hAnsi="Arial" w:cs="Arial"/>
          <w:sz w:val="22"/>
          <w:szCs w:val="22"/>
        </w:rPr>
        <w:t xml:space="preserve"> announced </w:t>
      </w:r>
      <w:r w:rsidR="009B5210" w:rsidRPr="00CD6F4A">
        <w:rPr>
          <w:rFonts w:ascii="Arial" w:hAnsi="Arial" w:cs="Arial"/>
          <w:sz w:val="22"/>
          <w:szCs w:val="22"/>
        </w:rPr>
        <w:t xml:space="preserve">to Bursa Securities </w:t>
      </w:r>
      <w:r w:rsidR="00632C02" w:rsidRPr="00CD6F4A">
        <w:rPr>
          <w:rFonts w:ascii="Arial" w:hAnsi="Arial" w:cs="Arial"/>
          <w:sz w:val="22"/>
          <w:szCs w:val="22"/>
        </w:rPr>
        <w:t xml:space="preserve">on </w:t>
      </w:r>
      <w:r w:rsidR="008B6A57">
        <w:rPr>
          <w:rFonts w:ascii="Arial" w:hAnsi="Arial" w:cs="Arial"/>
          <w:sz w:val="22"/>
          <w:szCs w:val="22"/>
        </w:rPr>
        <w:t>20</w:t>
      </w:r>
      <w:r w:rsidR="00632C02" w:rsidRPr="00CD6F4A">
        <w:rPr>
          <w:rFonts w:ascii="Arial" w:hAnsi="Arial" w:cs="Arial"/>
          <w:sz w:val="22"/>
          <w:szCs w:val="22"/>
        </w:rPr>
        <w:t xml:space="preserve"> </w:t>
      </w:r>
      <w:r w:rsidR="008B6A57">
        <w:rPr>
          <w:rFonts w:ascii="Arial" w:hAnsi="Arial" w:cs="Arial"/>
          <w:sz w:val="22"/>
          <w:szCs w:val="22"/>
        </w:rPr>
        <w:t>July</w:t>
      </w:r>
      <w:r w:rsidR="00632C02" w:rsidRPr="00CD6F4A">
        <w:rPr>
          <w:rFonts w:ascii="Arial" w:hAnsi="Arial" w:cs="Arial"/>
          <w:sz w:val="22"/>
          <w:szCs w:val="22"/>
        </w:rPr>
        <w:t xml:space="preserve"> 2010.</w:t>
      </w:r>
    </w:p>
    <w:p w:rsidR="00F10B3C" w:rsidRPr="00CD6F4A" w:rsidRDefault="00F10B3C" w:rsidP="00F10B3C">
      <w:pPr>
        <w:ind w:left="720"/>
        <w:jc w:val="both"/>
        <w:rPr>
          <w:rFonts w:ascii="Arial" w:hAnsi="Arial" w:cs="Arial"/>
          <w:sz w:val="22"/>
          <w:szCs w:val="22"/>
        </w:rPr>
      </w:pPr>
    </w:p>
    <w:p w:rsidR="00632C02" w:rsidRPr="00CD6F4A" w:rsidRDefault="00A131EC" w:rsidP="008B5C34">
      <w:pPr>
        <w:ind w:left="1440" w:hanging="720"/>
        <w:jc w:val="both"/>
        <w:rPr>
          <w:rFonts w:ascii="Arial" w:hAnsi="Arial" w:cs="Arial"/>
          <w:sz w:val="22"/>
          <w:szCs w:val="22"/>
        </w:rPr>
      </w:pPr>
      <w:r w:rsidRPr="00CD6F4A">
        <w:rPr>
          <w:rFonts w:ascii="Arial" w:hAnsi="Arial" w:cs="Arial"/>
          <w:sz w:val="22"/>
          <w:szCs w:val="22"/>
        </w:rPr>
        <w:t>(ii)</w:t>
      </w:r>
      <w:r w:rsidRPr="00CD6F4A">
        <w:rPr>
          <w:rFonts w:ascii="Arial" w:hAnsi="Arial" w:cs="Arial"/>
          <w:sz w:val="22"/>
          <w:szCs w:val="22"/>
        </w:rPr>
        <w:tab/>
      </w:r>
      <w:r w:rsidR="00632C02" w:rsidRPr="00CD6F4A">
        <w:rPr>
          <w:rFonts w:ascii="Arial" w:hAnsi="Arial" w:cs="Arial"/>
          <w:sz w:val="22"/>
          <w:szCs w:val="22"/>
        </w:rPr>
        <w:t xml:space="preserve">On 30 October 2009, </w:t>
      </w:r>
      <w:proofErr w:type="spellStart"/>
      <w:r w:rsidR="003E0593" w:rsidRPr="00CD6F4A">
        <w:rPr>
          <w:rFonts w:ascii="Arial" w:hAnsi="Arial" w:cs="Arial"/>
          <w:sz w:val="22"/>
          <w:szCs w:val="22"/>
        </w:rPr>
        <w:t>Prisma</w:t>
      </w:r>
      <w:proofErr w:type="spellEnd"/>
      <w:r w:rsidR="003E0593" w:rsidRPr="00CD6F4A">
        <w:rPr>
          <w:rFonts w:ascii="Arial" w:hAnsi="Arial" w:cs="Arial"/>
          <w:sz w:val="22"/>
          <w:szCs w:val="22"/>
        </w:rPr>
        <w:t xml:space="preserve"> </w:t>
      </w:r>
      <w:proofErr w:type="spellStart"/>
      <w:r w:rsidR="003E0593" w:rsidRPr="00CD6F4A">
        <w:rPr>
          <w:rFonts w:ascii="Arial" w:hAnsi="Arial" w:cs="Arial"/>
          <w:sz w:val="22"/>
          <w:szCs w:val="22"/>
        </w:rPr>
        <w:t>Spektra</w:t>
      </w:r>
      <w:proofErr w:type="spellEnd"/>
      <w:r w:rsidR="003E0593" w:rsidRPr="00CD6F4A">
        <w:rPr>
          <w:rFonts w:ascii="Arial" w:hAnsi="Arial" w:cs="Arial"/>
          <w:sz w:val="22"/>
          <w:szCs w:val="22"/>
        </w:rPr>
        <w:t xml:space="preserve"> </w:t>
      </w:r>
      <w:proofErr w:type="spellStart"/>
      <w:r w:rsidR="003E0593" w:rsidRPr="00CD6F4A">
        <w:rPr>
          <w:rFonts w:ascii="Arial" w:hAnsi="Arial" w:cs="Arial"/>
          <w:sz w:val="22"/>
          <w:szCs w:val="22"/>
        </w:rPr>
        <w:t>Sdn</w:t>
      </w:r>
      <w:proofErr w:type="spellEnd"/>
      <w:r w:rsidR="003E0593" w:rsidRPr="00CD6F4A">
        <w:rPr>
          <w:rFonts w:ascii="Arial" w:hAnsi="Arial" w:cs="Arial"/>
          <w:sz w:val="22"/>
          <w:szCs w:val="22"/>
        </w:rPr>
        <w:t xml:space="preserve"> </w:t>
      </w:r>
      <w:proofErr w:type="spellStart"/>
      <w:r w:rsidR="003E0593" w:rsidRPr="00CD6F4A">
        <w:rPr>
          <w:rFonts w:ascii="Arial" w:hAnsi="Arial" w:cs="Arial"/>
          <w:sz w:val="22"/>
          <w:szCs w:val="22"/>
        </w:rPr>
        <w:t>Bhd</w:t>
      </w:r>
      <w:proofErr w:type="spellEnd"/>
      <w:r w:rsidR="003E0593" w:rsidRPr="00CD6F4A">
        <w:rPr>
          <w:rFonts w:ascii="Arial" w:hAnsi="Arial" w:cs="Arial"/>
          <w:sz w:val="22"/>
          <w:szCs w:val="22"/>
        </w:rPr>
        <w:t xml:space="preserve"> (“</w:t>
      </w:r>
      <w:r w:rsidR="00632C02" w:rsidRPr="00CD6F4A">
        <w:rPr>
          <w:rFonts w:ascii="Arial" w:hAnsi="Arial" w:cs="Arial"/>
          <w:sz w:val="22"/>
          <w:szCs w:val="22"/>
        </w:rPr>
        <w:t>PSSB</w:t>
      </w:r>
      <w:r w:rsidR="003E0593" w:rsidRPr="00CD6F4A">
        <w:rPr>
          <w:rFonts w:ascii="Arial" w:hAnsi="Arial" w:cs="Arial"/>
          <w:sz w:val="22"/>
          <w:szCs w:val="22"/>
        </w:rPr>
        <w:t>”)</w:t>
      </w:r>
      <w:r w:rsidR="00632C02" w:rsidRPr="00CD6F4A">
        <w:rPr>
          <w:rFonts w:ascii="Arial" w:hAnsi="Arial" w:cs="Arial"/>
          <w:sz w:val="22"/>
          <w:szCs w:val="22"/>
        </w:rPr>
        <w:t>, a wholly</w:t>
      </w:r>
      <w:r w:rsidR="00B730D8" w:rsidRPr="00CD6F4A">
        <w:rPr>
          <w:rFonts w:ascii="Arial" w:hAnsi="Arial" w:cs="Arial"/>
          <w:sz w:val="22"/>
          <w:szCs w:val="22"/>
        </w:rPr>
        <w:t>-</w:t>
      </w:r>
      <w:r w:rsidR="00632C02" w:rsidRPr="00CD6F4A">
        <w:rPr>
          <w:rFonts w:ascii="Arial" w:hAnsi="Arial" w:cs="Arial"/>
          <w:sz w:val="22"/>
          <w:szCs w:val="22"/>
        </w:rPr>
        <w:t xml:space="preserve">owned subsidiary of the Company, entered into a conditional Share Sale Agreement </w:t>
      </w:r>
      <w:r w:rsidR="00C96895" w:rsidRPr="00CD6F4A">
        <w:rPr>
          <w:rFonts w:ascii="Arial" w:hAnsi="Arial" w:cs="Arial"/>
          <w:sz w:val="22"/>
          <w:szCs w:val="22"/>
        </w:rPr>
        <w:t xml:space="preserve">(“SSA”) </w:t>
      </w:r>
      <w:r w:rsidR="00632C02" w:rsidRPr="00CD6F4A">
        <w:rPr>
          <w:rFonts w:ascii="Arial" w:hAnsi="Arial" w:cs="Arial"/>
          <w:sz w:val="22"/>
          <w:szCs w:val="22"/>
        </w:rPr>
        <w:t xml:space="preserve">with Semi </w:t>
      </w:r>
      <w:proofErr w:type="spellStart"/>
      <w:r w:rsidR="00632C02" w:rsidRPr="00CD6F4A">
        <w:rPr>
          <w:rFonts w:ascii="Arial" w:hAnsi="Arial" w:cs="Arial"/>
          <w:sz w:val="22"/>
          <w:szCs w:val="22"/>
        </w:rPr>
        <w:t>Bayu</w:t>
      </w:r>
      <w:proofErr w:type="spellEnd"/>
      <w:r w:rsidR="00632C02" w:rsidRPr="00CD6F4A">
        <w:rPr>
          <w:rFonts w:ascii="Arial" w:hAnsi="Arial" w:cs="Arial"/>
          <w:sz w:val="22"/>
          <w:szCs w:val="22"/>
        </w:rPr>
        <w:t xml:space="preserve"> </w:t>
      </w:r>
      <w:proofErr w:type="spellStart"/>
      <w:r w:rsidR="00632C02" w:rsidRPr="00CD6F4A">
        <w:rPr>
          <w:rFonts w:ascii="Arial" w:hAnsi="Arial" w:cs="Arial"/>
          <w:sz w:val="22"/>
          <w:szCs w:val="22"/>
        </w:rPr>
        <w:t>Sdn</w:t>
      </w:r>
      <w:proofErr w:type="spellEnd"/>
      <w:r w:rsidR="00632C02" w:rsidRPr="00CD6F4A">
        <w:rPr>
          <w:rFonts w:ascii="Arial" w:hAnsi="Arial" w:cs="Arial"/>
          <w:sz w:val="22"/>
          <w:szCs w:val="22"/>
        </w:rPr>
        <w:t xml:space="preserve"> </w:t>
      </w:r>
      <w:proofErr w:type="spellStart"/>
      <w:r w:rsidR="00632C02" w:rsidRPr="00CD6F4A">
        <w:rPr>
          <w:rFonts w:ascii="Arial" w:hAnsi="Arial" w:cs="Arial"/>
          <w:sz w:val="22"/>
          <w:szCs w:val="22"/>
        </w:rPr>
        <w:t>Bhd</w:t>
      </w:r>
      <w:proofErr w:type="spellEnd"/>
      <w:r w:rsidR="00632C02" w:rsidRPr="00CD6F4A">
        <w:rPr>
          <w:rFonts w:ascii="Arial" w:hAnsi="Arial" w:cs="Arial"/>
          <w:sz w:val="22"/>
          <w:szCs w:val="22"/>
        </w:rPr>
        <w:t xml:space="preserve"> </w:t>
      </w:r>
      <w:r w:rsidR="00C96895" w:rsidRPr="00CD6F4A">
        <w:rPr>
          <w:rFonts w:ascii="Arial" w:hAnsi="Arial" w:cs="Arial"/>
          <w:sz w:val="22"/>
          <w:szCs w:val="22"/>
        </w:rPr>
        <w:t>(“S</w:t>
      </w:r>
      <w:r w:rsidR="00B730D8" w:rsidRPr="00CD6F4A">
        <w:rPr>
          <w:rFonts w:ascii="Arial" w:hAnsi="Arial" w:cs="Arial"/>
          <w:sz w:val="22"/>
          <w:szCs w:val="22"/>
        </w:rPr>
        <w:t>B</w:t>
      </w:r>
      <w:r w:rsidR="00C96895" w:rsidRPr="00CD6F4A">
        <w:rPr>
          <w:rFonts w:ascii="Arial" w:hAnsi="Arial" w:cs="Arial"/>
          <w:sz w:val="22"/>
          <w:szCs w:val="22"/>
        </w:rPr>
        <w:t xml:space="preserve">SB”) </w:t>
      </w:r>
      <w:r w:rsidR="00632C02" w:rsidRPr="00CD6F4A">
        <w:rPr>
          <w:rFonts w:ascii="Arial" w:hAnsi="Arial" w:cs="Arial"/>
          <w:sz w:val="22"/>
          <w:szCs w:val="22"/>
        </w:rPr>
        <w:t xml:space="preserve">for the acquisition of 125,709,000 ordinary shares of RM1.00 each, representing the entire issued and paid-up ordinary share capital, of MARDEC </w:t>
      </w:r>
      <w:proofErr w:type="spellStart"/>
      <w:r w:rsidR="00632C02" w:rsidRPr="00CD6F4A">
        <w:rPr>
          <w:rFonts w:ascii="Arial" w:hAnsi="Arial" w:cs="Arial"/>
          <w:sz w:val="22"/>
          <w:szCs w:val="22"/>
        </w:rPr>
        <w:t>Berhad</w:t>
      </w:r>
      <w:proofErr w:type="spellEnd"/>
      <w:r w:rsidR="00632C02" w:rsidRPr="00CD6F4A">
        <w:rPr>
          <w:rFonts w:ascii="Arial" w:hAnsi="Arial" w:cs="Arial"/>
          <w:sz w:val="22"/>
          <w:szCs w:val="22"/>
        </w:rPr>
        <w:t xml:space="preserve"> (“</w:t>
      </w:r>
      <w:proofErr w:type="spellStart"/>
      <w:r w:rsidR="00632C02" w:rsidRPr="00CD6F4A">
        <w:rPr>
          <w:rFonts w:ascii="Arial" w:hAnsi="Arial" w:cs="Arial"/>
          <w:sz w:val="22"/>
          <w:szCs w:val="22"/>
        </w:rPr>
        <w:t>Mardec</w:t>
      </w:r>
      <w:proofErr w:type="spellEnd"/>
      <w:r w:rsidR="00632C02" w:rsidRPr="00CD6F4A">
        <w:rPr>
          <w:rFonts w:ascii="Arial" w:hAnsi="Arial" w:cs="Arial"/>
          <w:sz w:val="22"/>
          <w:szCs w:val="22"/>
        </w:rPr>
        <w:t>”) for a total purchase consideration of RM150.0 million</w:t>
      </w:r>
      <w:r w:rsidR="008B5C34" w:rsidRPr="00CD6F4A">
        <w:rPr>
          <w:rFonts w:ascii="Arial" w:hAnsi="Arial" w:cs="Arial"/>
          <w:sz w:val="22"/>
          <w:szCs w:val="22"/>
        </w:rPr>
        <w:t xml:space="preserve"> (</w:t>
      </w:r>
      <w:r w:rsidR="003E0593" w:rsidRPr="00CD6F4A">
        <w:rPr>
          <w:rFonts w:ascii="Arial" w:hAnsi="Arial" w:cs="Arial"/>
          <w:sz w:val="22"/>
          <w:szCs w:val="22"/>
        </w:rPr>
        <w:t>“P</w:t>
      </w:r>
      <w:r w:rsidR="008B5C34" w:rsidRPr="00CD6F4A">
        <w:rPr>
          <w:rFonts w:ascii="Arial" w:hAnsi="Arial" w:cs="Arial"/>
          <w:sz w:val="22"/>
          <w:szCs w:val="22"/>
        </w:rPr>
        <w:t xml:space="preserve">roposed </w:t>
      </w:r>
      <w:r w:rsidR="003E0593" w:rsidRPr="00CD6F4A">
        <w:rPr>
          <w:rFonts w:ascii="Arial" w:hAnsi="Arial" w:cs="Arial"/>
          <w:sz w:val="22"/>
          <w:szCs w:val="22"/>
        </w:rPr>
        <w:t>A</w:t>
      </w:r>
      <w:r w:rsidR="008B5C34" w:rsidRPr="00CD6F4A">
        <w:rPr>
          <w:rFonts w:ascii="Arial" w:hAnsi="Arial" w:cs="Arial"/>
          <w:sz w:val="22"/>
          <w:szCs w:val="22"/>
        </w:rPr>
        <w:t xml:space="preserve">cquisition of </w:t>
      </w:r>
      <w:proofErr w:type="spellStart"/>
      <w:r w:rsidR="003E0593" w:rsidRPr="00CD6F4A">
        <w:rPr>
          <w:rFonts w:ascii="Arial" w:hAnsi="Arial" w:cs="Arial"/>
          <w:sz w:val="22"/>
          <w:szCs w:val="22"/>
        </w:rPr>
        <w:t>Mardec</w:t>
      </w:r>
      <w:proofErr w:type="spellEnd"/>
      <w:r w:rsidR="003E0593" w:rsidRPr="00CD6F4A">
        <w:rPr>
          <w:rFonts w:ascii="Arial" w:hAnsi="Arial" w:cs="Arial"/>
          <w:sz w:val="22"/>
          <w:szCs w:val="22"/>
        </w:rPr>
        <w:t>”</w:t>
      </w:r>
      <w:r w:rsidR="008B5C34" w:rsidRPr="00CD6F4A">
        <w:rPr>
          <w:rFonts w:ascii="Arial" w:hAnsi="Arial" w:cs="Arial"/>
          <w:sz w:val="22"/>
          <w:szCs w:val="22"/>
        </w:rPr>
        <w:t>)</w:t>
      </w:r>
      <w:r w:rsidR="00632C02" w:rsidRPr="00CD6F4A">
        <w:rPr>
          <w:rFonts w:ascii="Arial" w:hAnsi="Arial" w:cs="Arial"/>
          <w:sz w:val="22"/>
          <w:szCs w:val="22"/>
        </w:rPr>
        <w:t>, which shall be payable in the following manner:-</w:t>
      </w:r>
    </w:p>
    <w:p w:rsidR="00632C02" w:rsidRPr="00CD6F4A" w:rsidRDefault="00632C02" w:rsidP="00632C02">
      <w:pPr>
        <w:tabs>
          <w:tab w:val="left" w:pos="720"/>
        </w:tabs>
        <w:ind w:left="720"/>
        <w:jc w:val="both"/>
        <w:rPr>
          <w:rFonts w:ascii="Arial" w:hAnsi="Arial" w:cs="Arial"/>
          <w:sz w:val="22"/>
          <w:szCs w:val="22"/>
        </w:rPr>
      </w:pPr>
    </w:p>
    <w:p w:rsidR="00632C02" w:rsidRPr="00CD6F4A" w:rsidRDefault="00632C02" w:rsidP="00632C02">
      <w:pPr>
        <w:numPr>
          <w:ilvl w:val="0"/>
          <w:numId w:val="44"/>
        </w:numPr>
        <w:autoSpaceDE w:val="0"/>
        <w:autoSpaceDN w:val="0"/>
        <w:adjustRightInd w:val="0"/>
        <w:ind w:left="2160"/>
        <w:jc w:val="both"/>
        <w:rPr>
          <w:rFonts w:ascii="Arial" w:hAnsi="Arial" w:cs="Arial"/>
          <w:sz w:val="22"/>
          <w:szCs w:val="22"/>
          <w:lang w:eastAsia="zh-CN"/>
        </w:rPr>
      </w:pPr>
      <w:r w:rsidRPr="00CD6F4A">
        <w:rPr>
          <w:rFonts w:ascii="Arial" w:hAnsi="Arial" w:cs="Arial"/>
          <w:sz w:val="22"/>
          <w:szCs w:val="22"/>
          <w:lang w:eastAsia="zh-CN"/>
        </w:rPr>
        <w:t xml:space="preserve">a first </w:t>
      </w:r>
      <w:proofErr w:type="spellStart"/>
      <w:r w:rsidRPr="00CD6F4A">
        <w:rPr>
          <w:rFonts w:ascii="Arial" w:hAnsi="Arial" w:cs="Arial"/>
          <w:sz w:val="22"/>
          <w:szCs w:val="22"/>
          <w:lang w:eastAsia="zh-CN"/>
        </w:rPr>
        <w:t>instalment</w:t>
      </w:r>
      <w:proofErr w:type="spellEnd"/>
      <w:r w:rsidRPr="00CD6F4A">
        <w:rPr>
          <w:rFonts w:ascii="Arial" w:hAnsi="Arial" w:cs="Arial"/>
          <w:sz w:val="22"/>
          <w:szCs w:val="22"/>
          <w:lang w:eastAsia="zh-CN"/>
        </w:rPr>
        <w:t xml:space="preserve"> of RM45.0 million or 30% of the purchase consideration to be paid on the completion date; and</w:t>
      </w:r>
    </w:p>
    <w:p w:rsidR="00632C02" w:rsidRPr="00CD6F4A" w:rsidRDefault="00632C02" w:rsidP="00A131EC">
      <w:pPr>
        <w:ind w:left="1440" w:hanging="720"/>
        <w:jc w:val="both"/>
        <w:rPr>
          <w:rFonts w:ascii="Arial" w:hAnsi="Arial" w:cs="Arial"/>
          <w:sz w:val="22"/>
          <w:szCs w:val="22"/>
        </w:rPr>
      </w:pPr>
    </w:p>
    <w:p w:rsidR="008B5C34" w:rsidRPr="00CD6F4A" w:rsidRDefault="008B5C34" w:rsidP="008B5C34">
      <w:pPr>
        <w:numPr>
          <w:ilvl w:val="0"/>
          <w:numId w:val="44"/>
        </w:numPr>
        <w:autoSpaceDE w:val="0"/>
        <w:autoSpaceDN w:val="0"/>
        <w:adjustRightInd w:val="0"/>
        <w:ind w:left="2160"/>
        <w:jc w:val="both"/>
        <w:rPr>
          <w:rFonts w:ascii="Arial" w:hAnsi="Arial" w:cs="Arial"/>
          <w:sz w:val="22"/>
          <w:szCs w:val="22"/>
          <w:lang w:eastAsia="zh-CN"/>
        </w:rPr>
      </w:pPr>
      <w:r w:rsidRPr="00CD6F4A">
        <w:rPr>
          <w:rFonts w:ascii="Arial" w:hAnsi="Arial" w:cs="Arial"/>
          <w:sz w:val="22"/>
          <w:szCs w:val="22"/>
          <w:lang w:eastAsia="zh-CN"/>
        </w:rPr>
        <w:t xml:space="preserve">a second </w:t>
      </w:r>
      <w:proofErr w:type="spellStart"/>
      <w:r w:rsidRPr="00CD6F4A">
        <w:rPr>
          <w:rFonts w:ascii="Arial" w:hAnsi="Arial" w:cs="Arial"/>
          <w:sz w:val="22"/>
          <w:szCs w:val="22"/>
          <w:lang w:eastAsia="zh-CN"/>
        </w:rPr>
        <w:t>instalment</w:t>
      </w:r>
      <w:proofErr w:type="spellEnd"/>
      <w:r w:rsidRPr="00CD6F4A">
        <w:rPr>
          <w:rFonts w:ascii="Arial" w:hAnsi="Arial" w:cs="Arial"/>
          <w:sz w:val="22"/>
          <w:szCs w:val="22"/>
          <w:lang w:eastAsia="zh-CN"/>
        </w:rPr>
        <w:t xml:space="preserve"> of RM105.0 million or 70% of the purchase consideration to be paid on or before the last day of a period of 9 months from the completion date (or such longer period as the parties may mutually agree in writing).</w:t>
      </w:r>
    </w:p>
    <w:p w:rsidR="008B5C34" w:rsidRPr="00CD6F4A" w:rsidRDefault="008B5C34" w:rsidP="008B5C34">
      <w:pPr>
        <w:tabs>
          <w:tab w:val="left" w:pos="720"/>
        </w:tabs>
        <w:ind w:left="720"/>
        <w:jc w:val="both"/>
        <w:rPr>
          <w:rFonts w:ascii="Arial" w:hAnsi="Arial" w:cs="Arial"/>
          <w:sz w:val="22"/>
          <w:szCs w:val="22"/>
        </w:rPr>
      </w:pPr>
    </w:p>
    <w:p w:rsidR="008B5C34" w:rsidRPr="00CD6F4A" w:rsidRDefault="008B5C34" w:rsidP="008B5C34">
      <w:pPr>
        <w:autoSpaceDE w:val="0"/>
        <w:autoSpaceDN w:val="0"/>
        <w:adjustRightInd w:val="0"/>
        <w:ind w:left="1440"/>
        <w:jc w:val="both"/>
        <w:rPr>
          <w:rFonts w:ascii="Arial" w:hAnsi="Arial" w:cs="Arial"/>
          <w:sz w:val="22"/>
          <w:szCs w:val="22"/>
        </w:rPr>
      </w:pPr>
      <w:proofErr w:type="spellStart"/>
      <w:r w:rsidRPr="00CD6F4A">
        <w:rPr>
          <w:rFonts w:ascii="Arial" w:hAnsi="Arial" w:cs="Arial"/>
          <w:sz w:val="22"/>
          <w:szCs w:val="22"/>
          <w:lang w:eastAsia="zh-CN"/>
        </w:rPr>
        <w:t>Mardec</w:t>
      </w:r>
      <w:proofErr w:type="spellEnd"/>
      <w:r w:rsidRPr="00CD6F4A">
        <w:rPr>
          <w:rFonts w:ascii="Arial" w:hAnsi="Arial" w:cs="Arial"/>
          <w:sz w:val="22"/>
          <w:szCs w:val="22"/>
          <w:lang w:eastAsia="zh-CN"/>
        </w:rPr>
        <w:t xml:space="preserve"> is an investment holding company and through i</w:t>
      </w:r>
      <w:r w:rsidR="001428E5" w:rsidRPr="00CD6F4A">
        <w:rPr>
          <w:rFonts w:ascii="Arial" w:hAnsi="Arial" w:cs="Arial"/>
          <w:sz w:val="22"/>
          <w:szCs w:val="22"/>
          <w:lang w:eastAsia="zh-CN"/>
        </w:rPr>
        <w:t>ts local and overseas subsidiaries</w:t>
      </w:r>
      <w:r w:rsidRPr="00CD6F4A">
        <w:rPr>
          <w:rFonts w:ascii="Arial" w:hAnsi="Arial" w:cs="Arial"/>
          <w:sz w:val="22"/>
          <w:szCs w:val="22"/>
          <w:lang w:eastAsia="zh-CN"/>
        </w:rPr>
        <w:t xml:space="preserve"> and </w:t>
      </w:r>
      <w:r w:rsidR="001428E5" w:rsidRPr="00CD6F4A">
        <w:rPr>
          <w:rFonts w:ascii="Arial" w:hAnsi="Arial" w:cs="Arial"/>
          <w:sz w:val="22"/>
          <w:szCs w:val="22"/>
          <w:lang w:eastAsia="zh-CN"/>
        </w:rPr>
        <w:t>associates</w:t>
      </w:r>
      <w:r w:rsidRPr="00CD6F4A">
        <w:rPr>
          <w:rFonts w:ascii="Arial" w:hAnsi="Arial" w:cs="Arial"/>
          <w:sz w:val="22"/>
          <w:szCs w:val="22"/>
          <w:lang w:eastAsia="zh-CN"/>
        </w:rPr>
        <w:t>, is involved in the processing and trading of natural rubber and the manufacturing of value-added rubber and polymer products.</w:t>
      </w:r>
      <w:r w:rsidRPr="00CD6F4A">
        <w:rPr>
          <w:rFonts w:ascii="Arial" w:hAnsi="Arial" w:cs="Arial"/>
          <w:sz w:val="22"/>
          <w:szCs w:val="22"/>
        </w:rPr>
        <w:t xml:space="preserve"> </w:t>
      </w:r>
    </w:p>
    <w:p w:rsidR="008B5C34" w:rsidRPr="00CD6F4A" w:rsidRDefault="008B5C34" w:rsidP="008B5C34">
      <w:pPr>
        <w:autoSpaceDE w:val="0"/>
        <w:autoSpaceDN w:val="0"/>
        <w:adjustRightInd w:val="0"/>
        <w:ind w:left="1440"/>
        <w:jc w:val="both"/>
        <w:rPr>
          <w:rFonts w:ascii="Arial" w:hAnsi="Arial" w:cs="Arial"/>
          <w:sz w:val="22"/>
          <w:szCs w:val="22"/>
        </w:rPr>
      </w:pPr>
    </w:p>
    <w:p w:rsidR="00DF49EA" w:rsidRPr="00CD6F4A" w:rsidRDefault="00DF49EA" w:rsidP="00DF49EA">
      <w:pPr>
        <w:ind w:left="1440"/>
        <w:jc w:val="both"/>
        <w:rPr>
          <w:rFonts w:ascii="Arial" w:hAnsi="Arial" w:cs="Arial"/>
          <w:sz w:val="22"/>
          <w:szCs w:val="22"/>
        </w:rPr>
      </w:pPr>
      <w:r w:rsidRPr="00CD6F4A">
        <w:rPr>
          <w:rFonts w:ascii="Arial" w:hAnsi="Arial" w:cs="Arial"/>
          <w:sz w:val="22"/>
          <w:szCs w:val="22"/>
        </w:rPr>
        <w:t xml:space="preserve">The Proposed Acquisition </w:t>
      </w:r>
      <w:r w:rsidR="002206AF" w:rsidRPr="00CD6F4A">
        <w:rPr>
          <w:rFonts w:ascii="Arial" w:hAnsi="Arial" w:cs="Arial"/>
          <w:sz w:val="22"/>
          <w:szCs w:val="22"/>
        </w:rPr>
        <w:t xml:space="preserve">of </w:t>
      </w:r>
      <w:proofErr w:type="spellStart"/>
      <w:r w:rsidR="00A131EC" w:rsidRPr="00CD6F4A">
        <w:rPr>
          <w:rFonts w:ascii="Arial" w:hAnsi="Arial" w:cs="Arial"/>
          <w:sz w:val="22"/>
          <w:szCs w:val="22"/>
        </w:rPr>
        <w:t>Mardec</w:t>
      </w:r>
      <w:proofErr w:type="spellEnd"/>
      <w:r w:rsidR="00A131EC" w:rsidRPr="00CD6F4A">
        <w:rPr>
          <w:rFonts w:ascii="Arial" w:hAnsi="Arial" w:cs="Arial"/>
          <w:sz w:val="22"/>
          <w:szCs w:val="22"/>
        </w:rPr>
        <w:t xml:space="preserve"> </w:t>
      </w:r>
      <w:r w:rsidRPr="00CD6F4A">
        <w:rPr>
          <w:rFonts w:ascii="Arial" w:hAnsi="Arial" w:cs="Arial"/>
          <w:sz w:val="22"/>
          <w:szCs w:val="22"/>
        </w:rPr>
        <w:t xml:space="preserve">is conditional upon the </w:t>
      </w:r>
      <w:proofErr w:type="spellStart"/>
      <w:r w:rsidRPr="00CD6F4A">
        <w:rPr>
          <w:rFonts w:ascii="Arial" w:hAnsi="Arial" w:cs="Arial"/>
          <w:sz w:val="22"/>
          <w:szCs w:val="22"/>
        </w:rPr>
        <w:t>fulfilment</w:t>
      </w:r>
      <w:proofErr w:type="spellEnd"/>
      <w:r w:rsidRPr="00CD6F4A">
        <w:rPr>
          <w:rFonts w:ascii="Arial" w:hAnsi="Arial" w:cs="Arial"/>
          <w:sz w:val="22"/>
          <w:szCs w:val="22"/>
        </w:rPr>
        <w:t xml:space="preserve"> and satisfaction of the following conditions precedent:-</w:t>
      </w:r>
    </w:p>
    <w:p w:rsidR="00B83367" w:rsidRPr="00CD6F4A" w:rsidRDefault="00B83367" w:rsidP="00A131EC">
      <w:pPr>
        <w:jc w:val="both"/>
        <w:rPr>
          <w:rFonts w:ascii="Arial" w:hAnsi="Arial" w:cs="Arial"/>
          <w:sz w:val="22"/>
          <w:szCs w:val="22"/>
        </w:rPr>
      </w:pPr>
    </w:p>
    <w:p w:rsidR="00A131EC" w:rsidRPr="00CD6F4A" w:rsidRDefault="00A131EC" w:rsidP="00A131EC">
      <w:pPr>
        <w:autoSpaceDE w:val="0"/>
        <w:autoSpaceDN w:val="0"/>
        <w:adjustRightInd w:val="0"/>
        <w:ind w:left="2160" w:hanging="720"/>
        <w:jc w:val="both"/>
        <w:rPr>
          <w:rFonts w:ascii="Arial" w:hAnsi="Arial" w:cs="Arial"/>
          <w:sz w:val="22"/>
          <w:szCs w:val="22"/>
          <w:lang w:eastAsia="zh-CN"/>
        </w:rPr>
      </w:pPr>
      <w:r w:rsidRPr="00CD6F4A">
        <w:rPr>
          <w:rFonts w:ascii="Arial" w:hAnsi="Arial" w:cs="Arial"/>
          <w:sz w:val="22"/>
          <w:szCs w:val="22"/>
          <w:lang w:eastAsia="zh-CN"/>
        </w:rPr>
        <w:t>(a)</w:t>
      </w:r>
      <w:r w:rsidRPr="00CD6F4A">
        <w:rPr>
          <w:rFonts w:ascii="Arial" w:hAnsi="Arial" w:cs="Arial"/>
          <w:sz w:val="22"/>
          <w:szCs w:val="22"/>
          <w:lang w:eastAsia="zh-CN"/>
        </w:rPr>
        <w:tab/>
      </w:r>
      <w:proofErr w:type="gramStart"/>
      <w:r w:rsidRPr="00CD6F4A">
        <w:rPr>
          <w:rFonts w:ascii="Arial" w:hAnsi="Arial" w:cs="Arial"/>
          <w:sz w:val="22"/>
          <w:szCs w:val="22"/>
          <w:lang w:eastAsia="zh-CN"/>
        </w:rPr>
        <w:t>the</w:t>
      </w:r>
      <w:proofErr w:type="gramEnd"/>
      <w:r w:rsidRPr="00CD6F4A">
        <w:rPr>
          <w:rFonts w:ascii="Arial" w:hAnsi="Arial" w:cs="Arial"/>
          <w:sz w:val="22"/>
          <w:szCs w:val="22"/>
          <w:lang w:eastAsia="zh-CN"/>
        </w:rPr>
        <w:t xml:space="preserve"> approval of the Economic Planning Unit of the Prime Minister’s Department;</w:t>
      </w:r>
    </w:p>
    <w:p w:rsidR="00A131EC" w:rsidRPr="00CD6F4A" w:rsidRDefault="00A131EC" w:rsidP="00A131EC">
      <w:pPr>
        <w:autoSpaceDE w:val="0"/>
        <w:autoSpaceDN w:val="0"/>
        <w:adjustRightInd w:val="0"/>
        <w:ind w:left="2160" w:hanging="720"/>
        <w:jc w:val="both"/>
        <w:rPr>
          <w:rFonts w:ascii="Arial" w:hAnsi="Arial" w:cs="Arial"/>
          <w:sz w:val="22"/>
          <w:szCs w:val="22"/>
          <w:lang w:eastAsia="zh-CN"/>
        </w:rPr>
      </w:pPr>
    </w:p>
    <w:p w:rsidR="00A131EC" w:rsidRPr="00CD6F4A" w:rsidRDefault="00A131EC" w:rsidP="00A131EC">
      <w:pPr>
        <w:autoSpaceDE w:val="0"/>
        <w:autoSpaceDN w:val="0"/>
        <w:adjustRightInd w:val="0"/>
        <w:ind w:left="2160" w:hanging="720"/>
        <w:jc w:val="both"/>
        <w:rPr>
          <w:rFonts w:ascii="Arial" w:hAnsi="Arial" w:cs="Arial"/>
          <w:sz w:val="22"/>
          <w:szCs w:val="22"/>
          <w:lang w:eastAsia="zh-CN"/>
        </w:rPr>
      </w:pPr>
      <w:r w:rsidRPr="00CD6F4A">
        <w:rPr>
          <w:rFonts w:ascii="Arial" w:hAnsi="Arial" w:cs="Arial"/>
          <w:sz w:val="22"/>
          <w:szCs w:val="22"/>
          <w:lang w:eastAsia="zh-CN"/>
        </w:rPr>
        <w:t>(b)</w:t>
      </w:r>
      <w:r w:rsidRPr="00CD6F4A">
        <w:rPr>
          <w:rFonts w:ascii="Arial" w:hAnsi="Arial" w:cs="Arial"/>
          <w:sz w:val="22"/>
          <w:szCs w:val="22"/>
          <w:lang w:eastAsia="zh-CN"/>
        </w:rPr>
        <w:tab/>
      </w:r>
      <w:proofErr w:type="gramStart"/>
      <w:r w:rsidRPr="00CD6F4A">
        <w:rPr>
          <w:rFonts w:ascii="Arial" w:hAnsi="Arial" w:cs="Arial"/>
          <w:sz w:val="22"/>
          <w:szCs w:val="22"/>
          <w:lang w:eastAsia="zh-CN"/>
        </w:rPr>
        <w:t>the</w:t>
      </w:r>
      <w:proofErr w:type="gramEnd"/>
      <w:r w:rsidRPr="00CD6F4A">
        <w:rPr>
          <w:rFonts w:ascii="Arial" w:hAnsi="Arial" w:cs="Arial"/>
          <w:sz w:val="22"/>
          <w:szCs w:val="22"/>
          <w:lang w:eastAsia="zh-CN"/>
        </w:rPr>
        <w:t xml:space="preserve"> approval of the existing financier(s) of </w:t>
      </w:r>
      <w:proofErr w:type="spellStart"/>
      <w:r w:rsidRPr="00CD6F4A">
        <w:rPr>
          <w:rFonts w:ascii="Arial" w:hAnsi="Arial" w:cs="Arial"/>
          <w:sz w:val="22"/>
          <w:szCs w:val="22"/>
          <w:lang w:eastAsia="zh-CN"/>
        </w:rPr>
        <w:t>Mardec</w:t>
      </w:r>
      <w:proofErr w:type="spellEnd"/>
      <w:r w:rsidRPr="00CD6F4A">
        <w:rPr>
          <w:rFonts w:ascii="Arial" w:hAnsi="Arial" w:cs="Arial"/>
          <w:sz w:val="22"/>
          <w:szCs w:val="22"/>
          <w:lang w:eastAsia="zh-CN"/>
        </w:rPr>
        <w:t>, if required;</w:t>
      </w:r>
    </w:p>
    <w:p w:rsidR="00A131EC" w:rsidRPr="00CD6F4A" w:rsidRDefault="00A131EC" w:rsidP="00A131EC">
      <w:pPr>
        <w:autoSpaceDE w:val="0"/>
        <w:autoSpaceDN w:val="0"/>
        <w:adjustRightInd w:val="0"/>
        <w:ind w:left="2160" w:hanging="720"/>
        <w:jc w:val="both"/>
        <w:rPr>
          <w:rFonts w:ascii="Arial" w:hAnsi="Arial" w:cs="Arial"/>
          <w:sz w:val="22"/>
          <w:szCs w:val="22"/>
          <w:lang w:eastAsia="zh-CN"/>
        </w:rPr>
      </w:pPr>
    </w:p>
    <w:p w:rsidR="00A131EC" w:rsidRPr="00CD6F4A" w:rsidRDefault="00A131EC" w:rsidP="00A131EC">
      <w:pPr>
        <w:autoSpaceDE w:val="0"/>
        <w:autoSpaceDN w:val="0"/>
        <w:adjustRightInd w:val="0"/>
        <w:ind w:left="2160" w:hanging="720"/>
        <w:jc w:val="both"/>
        <w:rPr>
          <w:rFonts w:ascii="Arial" w:hAnsi="Arial" w:cs="Arial"/>
          <w:sz w:val="22"/>
          <w:szCs w:val="22"/>
          <w:lang w:eastAsia="zh-CN"/>
        </w:rPr>
      </w:pPr>
      <w:r w:rsidRPr="00CD6F4A">
        <w:rPr>
          <w:rFonts w:ascii="Arial" w:hAnsi="Arial" w:cs="Arial"/>
          <w:sz w:val="22"/>
          <w:szCs w:val="22"/>
          <w:lang w:eastAsia="zh-CN"/>
        </w:rPr>
        <w:t>(c)</w:t>
      </w:r>
      <w:r w:rsidRPr="00CD6F4A">
        <w:rPr>
          <w:rFonts w:ascii="Arial" w:hAnsi="Arial" w:cs="Arial"/>
          <w:sz w:val="22"/>
          <w:szCs w:val="22"/>
          <w:lang w:eastAsia="zh-CN"/>
        </w:rPr>
        <w:tab/>
      </w:r>
      <w:proofErr w:type="gramStart"/>
      <w:r w:rsidRPr="00CD6F4A">
        <w:rPr>
          <w:rFonts w:ascii="Arial" w:hAnsi="Arial" w:cs="Arial"/>
          <w:sz w:val="22"/>
          <w:szCs w:val="22"/>
          <w:lang w:eastAsia="zh-CN"/>
        </w:rPr>
        <w:t>the</w:t>
      </w:r>
      <w:proofErr w:type="gramEnd"/>
      <w:r w:rsidRPr="00CD6F4A">
        <w:rPr>
          <w:rFonts w:ascii="Arial" w:hAnsi="Arial" w:cs="Arial"/>
          <w:sz w:val="22"/>
          <w:szCs w:val="22"/>
          <w:lang w:eastAsia="zh-CN"/>
        </w:rPr>
        <w:t xml:space="preserve"> approval of the shareholders of the Company at a general meeting to be convened;</w:t>
      </w:r>
    </w:p>
    <w:p w:rsidR="00A131EC" w:rsidRPr="00CD6F4A" w:rsidRDefault="00A131EC" w:rsidP="00A131EC">
      <w:pPr>
        <w:autoSpaceDE w:val="0"/>
        <w:autoSpaceDN w:val="0"/>
        <w:adjustRightInd w:val="0"/>
        <w:ind w:left="2160" w:hanging="720"/>
        <w:jc w:val="both"/>
        <w:rPr>
          <w:rFonts w:ascii="Arial" w:hAnsi="Arial" w:cs="Arial"/>
          <w:sz w:val="22"/>
          <w:szCs w:val="22"/>
          <w:lang w:eastAsia="zh-CN"/>
        </w:rPr>
      </w:pPr>
    </w:p>
    <w:p w:rsidR="00A131EC" w:rsidRPr="00CD6F4A" w:rsidRDefault="00A131EC" w:rsidP="00A131EC">
      <w:pPr>
        <w:autoSpaceDE w:val="0"/>
        <w:autoSpaceDN w:val="0"/>
        <w:adjustRightInd w:val="0"/>
        <w:ind w:left="2160" w:hanging="720"/>
        <w:jc w:val="both"/>
        <w:rPr>
          <w:rFonts w:ascii="Arial" w:hAnsi="Arial" w:cs="Arial"/>
          <w:sz w:val="22"/>
          <w:szCs w:val="22"/>
          <w:lang w:eastAsia="zh-CN"/>
        </w:rPr>
      </w:pPr>
      <w:r w:rsidRPr="00CD6F4A">
        <w:rPr>
          <w:rFonts w:ascii="Arial" w:hAnsi="Arial" w:cs="Arial"/>
          <w:sz w:val="22"/>
          <w:szCs w:val="22"/>
          <w:lang w:eastAsia="zh-CN"/>
        </w:rPr>
        <w:t>(d)</w:t>
      </w:r>
      <w:r w:rsidRPr="00CD6F4A">
        <w:rPr>
          <w:rFonts w:ascii="Arial" w:hAnsi="Arial" w:cs="Arial"/>
          <w:sz w:val="22"/>
          <w:szCs w:val="22"/>
          <w:lang w:eastAsia="zh-CN"/>
        </w:rPr>
        <w:tab/>
      </w:r>
      <w:proofErr w:type="gramStart"/>
      <w:r w:rsidR="00AC0A48" w:rsidRPr="00CD6F4A">
        <w:rPr>
          <w:rFonts w:ascii="Arial" w:hAnsi="Arial" w:cs="Arial"/>
          <w:sz w:val="22"/>
          <w:szCs w:val="22"/>
          <w:lang w:eastAsia="zh-CN"/>
        </w:rPr>
        <w:t>t</w:t>
      </w:r>
      <w:r w:rsidR="006770A8" w:rsidRPr="00CD6F4A">
        <w:rPr>
          <w:rFonts w:ascii="Arial" w:hAnsi="Arial" w:cs="Arial"/>
          <w:sz w:val="22"/>
          <w:szCs w:val="22"/>
          <w:lang w:eastAsia="zh-CN"/>
        </w:rPr>
        <w:t>he</w:t>
      </w:r>
      <w:proofErr w:type="gramEnd"/>
      <w:r w:rsidR="006770A8" w:rsidRPr="00CD6F4A">
        <w:rPr>
          <w:rFonts w:ascii="Arial" w:hAnsi="Arial" w:cs="Arial"/>
          <w:sz w:val="22"/>
          <w:szCs w:val="22"/>
          <w:lang w:eastAsia="zh-CN"/>
        </w:rPr>
        <w:t xml:space="preserve"> Company</w:t>
      </w:r>
      <w:r w:rsidRPr="00CD6F4A">
        <w:rPr>
          <w:rFonts w:ascii="Arial" w:hAnsi="Arial" w:cs="Arial"/>
          <w:sz w:val="22"/>
          <w:szCs w:val="22"/>
          <w:lang w:eastAsia="zh-CN"/>
        </w:rPr>
        <w:t xml:space="preserve"> and PSSB being satisfied with the results and findings of the financial and legal due diligence investigations into </w:t>
      </w:r>
      <w:proofErr w:type="spellStart"/>
      <w:r w:rsidR="006770A8" w:rsidRPr="00CD6F4A">
        <w:rPr>
          <w:rFonts w:ascii="Arial" w:hAnsi="Arial" w:cs="Arial"/>
          <w:sz w:val="22"/>
          <w:szCs w:val="22"/>
          <w:lang w:eastAsia="zh-CN"/>
        </w:rPr>
        <w:t>Mardec</w:t>
      </w:r>
      <w:proofErr w:type="spellEnd"/>
      <w:r w:rsidR="006770A8" w:rsidRPr="00CD6F4A">
        <w:rPr>
          <w:rFonts w:ascii="Arial" w:hAnsi="Arial" w:cs="Arial"/>
          <w:sz w:val="22"/>
          <w:szCs w:val="22"/>
          <w:lang w:eastAsia="zh-CN"/>
        </w:rPr>
        <w:t xml:space="preserve"> and its subsidiaries </w:t>
      </w:r>
      <w:r w:rsidRPr="00CD6F4A">
        <w:rPr>
          <w:rFonts w:ascii="Arial" w:hAnsi="Arial" w:cs="Arial"/>
          <w:sz w:val="22"/>
          <w:szCs w:val="22"/>
          <w:lang w:eastAsia="zh-CN"/>
        </w:rPr>
        <w:t>and if applicable, the satisfactory resolution and determination of any issues arising from the due diligence investigations; and</w:t>
      </w:r>
    </w:p>
    <w:p w:rsidR="00A131EC" w:rsidRPr="00CD6F4A" w:rsidRDefault="00A131EC" w:rsidP="00A131EC">
      <w:pPr>
        <w:autoSpaceDE w:val="0"/>
        <w:autoSpaceDN w:val="0"/>
        <w:adjustRightInd w:val="0"/>
        <w:ind w:left="2160" w:hanging="720"/>
        <w:jc w:val="both"/>
        <w:rPr>
          <w:rFonts w:ascii="Arial" w:hAnsi="Arial" w:cs="Arial"/>
          <w:sz w:val="22"/>
          <w:szCs w:val="22"/>
          <w:lang w:eastAsia="zh-CN"/>
        </w:rPr>
      </w:pPr>
    </w:p>
    <w:p w:rsidR="00A131EC" w:rsidRPr="00CD6F4A" w:rsidRDefault="00A131EC" w:rsidP="00A131EC">
      <w:pPr>
        <w:ind w:left="2160" w:hanging="720"/>
        <w:jc w:val="both"/>
        <w:rPr>
          <w:rFonts w:ascii="Arial" w:hAnsi="Arial" w:cs="Arial"/>
          <w:sz w:val="22"/>
          <w:szCs w:val="22"/>
        </w:rPr>
      </w:pPr>
      <w:r w:rsidRPr="00CD6F4A">
        <w:rPr>
          <w:rFonts w:ascii="Arial" w:hAnsi="Arial" w:cs="Arial"/>
          <w:sz w:val="22"/>
          <w:szCs w:val="22"/>
          <w:lang w:eastAsia="zh-CN"/>
        </w:rPr>
        <w:t>(e)</w:t>
      </w:r>
      <w:r w:rsidRPr="00CD6F4A">
        <w:rPr>
          <w:rFonts w:ascii="Arial" w:hAnsi="Arial" w:cs="Arial"/>
          <w:sz w:val="22"/>
          <w:szCs w:val="22"/>
          <w:lang w:eastAsia="zh-CN"/>
        </w:rPr>
        <w:tab/>
      </w:r>
      <w:proofErr w:type="gramStart"/>
      <w:r w:rsidRPr="00CD6F4A">
        <w:rPr>
          <w:rFonts w:ascii="Arial" w:hAnsi="Arial" w:cs="Arial"/>
          <w:sz w:val="22"/>
          <w:szCs w:val="22"/>
          <w:lang w:eastAsia="zh-CN"/>
        </w:rPr>
        <w:t>other</w:t>
      </w:r>
      <w:proofErr w:type="gramEnd"/>
      <w:r w:rsidRPr="00CD6F4A">
        <w:rPr>
          <w:rFonts w:ascii="Arial" w:hAnsi="Arial" w:cs="Arial"/>
          <w:sz w:val="22"/>
          <w:szCs w:val="22"/>
          <w:lang w:eastAsia="zh-CN"/>
        </w:rPr>
        <w:t xml:space="preserve"> requisite approvals, if any.</w:t>
      </w:r>
    </w:p>
    <w:p w:rsidR="00A131EC" w:rsidRPr="00CD6F4A" w:rsidRDefault="00A131EC" w:rsidP="00A131EC">
      <w:pPr>
        <w:autoSpaceDE w:val="0"/>
        <w:autoSpaceDN w:val="0"/>
        <w:adjustRightInd w:val="0"/>
        <w:ind w:left="2160"/>
        <w:jc w:val="both"/>
        <w:rPr>
          <w:rFonts w:ascii="Arial" w:hAnsi="Arial" w:cs="Arial"/>
          <w:sz w:val="22"/>
          <w:szCs w:val="22"/>
          <w:lang w:eastAsia="zh-CN"/>
        </w:rPr>
      </w:pPr>
    </w:p>
    <w:p w:rsidR="00C96895" w:rsidRPr="00CD6F4A" w:rsidRDefault="00C96895" w:rsidP="00C96895">
      <w:pPr>
        <w:tabs>
          <w:tab w:val="left" w:pos="270"/>
        </w:tabs>
        <w:ind w:left="1440"/>
        <w:jc w:val="both"/>
        <w:rPr>
          <w:rFonts w:ascii="Arial" w:hAnsi="Arial"/>
          <w:sz w:val="22"/>
        </w:rPr>
      </w:pPr>
      <w:r w:rsidRPr="00CD6F4A">
        <w:rPr>
          <w:rFonts w:ascii="Arial" w:hAnsi="Arial"/>
          <w:sz w:val="22"/>
        </w:rPr>
        <w:t>On 30 April 2010, PSSB and S</w:t>
      </w:r>
      <w:r w:rsidR="00B730D8" w:rsidRPr="00CD6F4A">
        <w:rPr>
          <w:rFonts w:ascii="Arial" w:hAnsi="Arial"/>
          <w:sz w:val="22"/>
        </w:rPr>
        <w:t>B</w:t>
      </w:r>
      <w:r w:rsidRPr="00CD6F4A">
        <w:rPr>
          <w:rFonts w:ascii="Arial" w:hAnsi="Arial"/>
          <w:sz w:val="22"/>
        </w:rPr>
        <w:t>SB have mutually agreed to extend the period to fulfill the conditions precedent under the SSA to 30 October 2010.</w:t>
      </w:r>
    </w:p>
    <w:p w:rsidR="001428E5" w:rsidRPr="00CD6F4A" w:rsidRDefault="001428E5" w:rsidP="00B83367">
      <w:pPr>
        <w:tabs>
          <w:tab w:val="left" w:pos="270"/>
        </w:tabs>
        <w:jc w:val="both"/>
        <w:rPr>
          <w:rFonts w:ascii="Arial" w:hAnsi="Arial"/>
          <w:b/>
          <w:sz w:val="22"/>
        </w:rPr>
      </w:pPr>
      <w:r w:rsidRPr="00CD6F4A">
        <w:rPr>
          <w:rFonts w:ascii="Arial" w:hAnsi="Arial"/>
          <w:sz w:val="22"/>
        </w:rPr>
        <w:br w:type="page"/>
      </w:r>
    </w:p>
    <w:p w:rsidR="00B83367" w:rsidRPr="00CD6F4A" w:rsidRDefault="006045AB" w:rsidP="00B83367">
      <w:pPr>
        <w:tabs>
          <w:tab w:val="left" w:pos="270"/>
        </w:tabs>
        <w:jc w:val="both"/>
        <w:rPr>
          <w:rFonts w:ascii="Arial" w:hAnsi="Arial"/>
          <w:b/>
          <w:sz w:val="22"/>
        </w:rPr>
      </w:pPr>
      <w:r w:rsidRPr="00CD6F4A">
        <w:rPr>
          <w:rFonts w:ascii="Arial" w:hAnsi="Arial"/>
          <w:b/>
          <w:sz w:val="22"/>
        </w:rPr>
        <w:lastRenderedPageBreak/>
        <w:tab/>
      </w:r>
      <w:r w:rsidR="00B83367" w:rsidRPr="00CD6F4A">
        <w:rPr>
          <w:rFonts w:ascii="Arial" w:hAnsi="Arial"/>
          <w:b/>
          <w:sz w:val="22"/>
        </w:rPr>
        <w:t>(b)</w:t>
      </w:r>
      <w:r w:rsidR="00B83367" w:rsidRPr="00CD6F4A">
        <w:rPr>
          <w:rFonts w:ascii="Arial" w:hAnsi="Arial"/>
          <w:b/>
          <w:sz w:val="22"/>
        </w:rPr>
        <w:tab/>
        <w:t xml:space="preserve">Status of </w:t>
      </w:r>
      <w:proofErr w:type="spellStart"/>
      <w:r w:rsidR="00B83367" w:rsidRPr="00CD6F4A">
        <w:rPr>
          <w:rFonts w:ascii="Arial" w:hAnsi="Arial"/>
          <w:b/>
          <w:sz w:val="22"/>
        </w:rPr>
        <w:t>Utilisation</w:t>
      </w:r>
      <w:proofErr w:type="spellEnd"/>
      <w:r w:rsidR="00B83367" w:rsidRPr="00CD6F4A">
        <w:rPr>
          <w:rFonts w:ascii="Arial" w:hAnsi="Arial"/>
          <w:b/>
          <w:sz w:val="22"/>
        </w:rPr>
        <w:t xml:space="preserve"> of Proceeds Raised from Corporate Proposal</w:t>
      </w:r>
      <w:r w:rsidR="00B83367" w:rsidRPr="00CD6F4A">
        <w:rPr>
          <w:rFonts w:ascii="Arial" w:hAnsi="Arial"/>
          <w:b/>
          <w:sz w:val="22"/>
        </w:rPr>
        <w:tab/>
      </w:r>
    </w:p>
    <w:p w:rsidR="00B83367" w:rsidRPr="00CD6F4A" w:rsidRDefault="00B83367" w:rsidP="00B83367">
      <w:pPr>
        <w:jc w:val="both"/>
        <w:rPr>
          <w:rFonts w:ascii="Arial" w:hAnsi="Arial"/>
          <w:sz w:val="22"/>
        </w:rPr>
      </w:pPr>
    </w:p>
    <w:p w:rsidR="00B83367" w:rsidRPr="00CD6F4A" w:rsidRDefault="00B83367" w:rsidP="00B83367">
      <w:pPr>
        <w:jc w:val="both"/>
        <w:rPr>
          <w:rFonts w:ascii="Arial" w:hAnsi="Arial"/>
          <w:sz w:val="22"/>
        </w:rPr>
      </w:pPr>
      <w:r w:rsidRPr="00CD6F4A">
        <w:rPr>
          <w:rFonts w:ascii="Arial" w:hAnsi="Arial"/>
          <w:sz w:val="22"/>
        </w:rPr>
        <w:tab/>
        <w:t xml:space="preserve">There was no corporate proposal involving fund </w:t>
      </w:r>
      <w:proofErr w:type="gramStart"/>
      <w:r w:rsidRPr="00CD6F4A">
        <w:rPr>
          <w:rFonts w:ascii="Arial" w:hAnsi="Arial"/>
          <w:sz w:val="22"/>
        </w:rPr>
        <w:t>raising</w:t>
      </w:r>
      <w:proofErr w:type="gramEnd"/>
      <w:r w:rsidRPr="00CD6F4A">
        <w:rPr>
          <w:rFonts w:ascii="Arial" w:hAnsi="Arial"/>
          <w:sz w:val="22"/>
        </w:rPr>
        <w:t>.</w:t>
      </w:r>
    </w:p>
    <w:p w:rsidR="00393B64" w:rsidRPr="00CD6F4A" w:rsidRDefault="00393B64" w:rsidP="001904C2">
      <w:pPr>
        <w:ind w:left="1440"/>
        <w:jc w:val="both"/>
        <w:rPr>
          <w:rFonts w:ascii="Arial" w:hAnsi="Arial"/>
          <w:sz w:val="22"/>
        </w:rPr>
      </w:pPr>
    </w:p>
    <w:p w:rsidR="00A76250" w:rsidRPr="00CD6F4A" w:rsidRDefault="00A76250" w:rsidP="001904C2">
      <w:pPr>
        <w:ind w:left="1440"/>
        <w:jc w:val="both"/>
        <w:rPr>
          <w:rFonts w:ascii="Arial" w:hAnsi="Arial"/>
          <w:sz w:val="22"/>
        </w:rPr>
      </w:pPr>
    </w:p>
    <w:p w:rsidR="002F72DF" w:rsidRPr="00CD6F4A" w:rsidRDefault="002F72DF" w:rsidP="00471B3B">
      <w:pPr>
        <w:numPr>
          <w:ilvl w:val="0"/>
          <w:numId w:val="38"/>
        </w:numPr>
        <w:tabs>
          <w:tab w:val="clear" w:pos="1080"/>
        </w:tabs>
        <w:ind w:left="720"/>
        <w:jc w:val="both"/>
        <w:rPr>
          <w:rFonts w:ascii="Arial" w:hAnsi="Arial"/>
          <w:b/>
          <w:sz w:val="22"/>
        </w:rPr>
      </w:pPr>
      <w:r w:rsidRPr="00CD6F4A">
        <w:rPr>
          <w:rFonts w:ascii="Arial" w:hAnsi="Arial"/>
          <w:b/>
          <w:sz w:val="22"/>
        </w:rPr>
        <w:t xml:space="preserve">Group </w:t>
      </w:r>
      <w:r w:rsidR="00CC552E" w:rsidRPr="00CD6F4A">
        <w:rPr>
          <w:rFonts w:ascii="Arial" w:hAnsi="Arial"/>
          <w:b/>
          <w:sz w:val="22"/>
        </w:rPr>
        <w:t>B</w:t>
      </w:r>
      <w:r w:rsidRPr="00CD6F4A">
        <w:rPr>
          <w:rFonts w:ascii="Arial" w:hAnsi="Arial"/>
          <w:b/>
          <w:sz w:val="22"/>
        </w:rPr>
        <w:t>orrowings</w:t>
      </w:r>
      <w:r w:rsidR="00CC552E" w:rsidRPr="00CD6F4A">
        <w:rPr>
          <w:rFonts w:ascii="Arial" w:hAnsi="Arial"/>
          <w:b/>
          <w:sz w:val="22"/>
        </w:rPr>
        <w:t xml:space="preserve"> and Debt Securities</w:t>
      </w:r>
    </w:p>
    <w:p w:rsidR="00CC32DE" w:rsidRPr="00CD6F4A" w:rsidRDefault="00CC32DE" w:rsidP="00CC32DE">
      <w:pPr>
        <w:jc w:val="both"/>
        <w:rPr>
          <w:rFonts w:ascii="Arial" w:hAnsi="Arial"/>
          <w:b/>
          <w:sz w:val="22"/>
        </w:rPr>
      </w:pPr>
    </w:p>
    <w:p w:rsidR="00CC32DE" w:rsidRPr="00CD6F4A" w:rsidRDefault="00CC32DE" w:rsidP="00CC552E">
      <w:pPr>
        <w:ind w:left="720"/>
        <w:jc w:val="both"/>
        <w:rPr>
          <w:rFonts w:ascii="Arial" w:hAnsi="Arial"/>
          <w:sz w:val="22"/>
        </w:rPr>
      </w:pPr>
      <w:r w:rsidRPr="00CD6F4A">
        <w:rPr>
          <w:rFonts w:ascii="Arial" w:hAnsi="Arial"/>
          <w:sz w:val="22"/>
        </w:rPr>
        <w:t xml:space="preserve">Group borrowings </w:t>
      </w:r>
      <w:r w:rsidR="00CC552E" w:rsidRPr="00CD6F4A">
        <w:rPr>
          <w:rFonts w:ascii="Arial" w:hAnsi="Arial"/>
          <w:sz w:val="22"/>
        </w:rPr>
        <w:t xml:space="preserve">and debt securities </w:t>
      </w:r>
      <w:r w:rsidRPr="00CD6F4A">
        <w:rPr>
          <w:rFonts w:ascii="Arial" w:hAnsi="Arial"/>
          <w:sz w:val="22"/>
        </w:rPr>
        <w:t xml:space="preserve">as at the end of the reporting period </w:t>
      </w:r>
      <w:r w:rsidR="00173C8B" w:rsidRPr="00CD6F4A">
        <w:rPr>
          <w:rFonts w:ascii="Arial" w:hAnsi="Arial"/>
          <w:sz w:val="22"/>
        </w:rPr>
        <w:t>were</w:t>
      </w:r>
      <w:r w:rsidRPr="00CD6F4A">
        <w:rPr>
          <w:rFonts w:ascii="Arial" w:hAnsi="Arial"/>
          <w:sz w:val="22"/>
        </w:rPr>
        <w:t xml:space="preserve"> as follows:-</w:t>
      </w:r>
    </w:p>
    <w:p w:rsidR="00CC32DE" w:rsidRPr="00CD6F4A" w:rsidRDefault="00CC32DE" w:rsidP="00CC32DE">
      <w:pPr>
        <w:ind w:firstLine="720"/>
        <w:jc w:val="both"/>
        <w:rPr>
          <w:rFonts w:ascii="Arial" w:hAnsi="Arial"/>
          <w:b/>
          <w:sz w:val="22"/>
        </w:rPr>
      </w:pPr>
    </w:p>
    <w:tbl>
      <w:tblPr>
        <w:tblW w:w="0" w:type="auto"/>
        <w:tblInd w:w="801" w:type="dxa"/>
        <w:tblLayout w:type="fixed"/>
        <w:tblLook w:val="0000"/>
      </w:tblPr>
      <w:tblGrid>
        <w:gridCol w:w="6507"/>
        <w:gridCol w:w="1318"/>
      </w:tblGrid>
      <w:tr w:rsidR="00AD68E8" w:rsidRPr="00CD6F4A">
        <w:trPr>
          <w:trHeight w:val="288"/>
        </w:trPr>
        <w:tc>
          <w:tcPr>
            <w:tcW w:w="6507" w:type="dxa"/>
          </w:tcPr>
          <w:p w:rsidR="00AD68E8" w:rsidRPr="00CD6F4A" w:rsidRDefault="00AD68E8" w:rsidP="00E226A7">
            <w:pPr>
              <w:spacing w:before="20" w:after="20"/>
              <w:jc w:val="both"/>
              <w:rPr>
                <w:rFonts w:ascii="Arial" w:hAnsi="Arial"/>
                <w:sz w:val="22"/>
              </w:rPr>
            </w:pPr>
          </w:p>
        </w:tc>
        <w:tc>
          <w:tcPr>
            <w:tcW w:w="1318" w:type="dxa"/>
          </w:tcPr>
          <w:p w:rsidR="00AD68E8" w:rsidRPr="00CD6F4A" w:rsidRDefault="00AD68E8" w:rsidP="00E226A7">
            <w:pPr>
              <w:spacing w:before="20" w:after="20"/>
              <w:jc w:val="center"/>
              <w:rPr>
                <w:rFonts w:ascii="Arial" w:hAnsi="Arial"/>
                <w:b/>
                <w:sz w:val="22"/>
              </w:rPr>
            </w:pPr>
            <w:r w:rsidRPr="00CD6F4A">
              <w:rPr>
                <w:rFonts w:ascii="Arial" w:hAnsi="Arial"/>
                <w:b/>
                <w:sz w:val="22"/>
              </w:rPr>
              <w:t>RM’000</w:t>
            </w:r>
          </w:p>
        </w:tc>
      </w:tr>
      <w:tr w:rsidR="00AD68E8" w:rsidRPr="00CD6F4A">
        <w:trPr>
          <w:trHeight w:val="288"/>
        </w:trPr>
        <w:tc>
          <w:tcPr>
            <w:tcW w:w="6507" w:type="dxa"/>
          </w:tcPr>
          <w:p w:rsidR="00AD68E8" w:rsidRPr="00CD6F4A" w:rsidRDefault="00AD68E8" w:rsidP="00E226A7">
            <w:pPr>
              <w:spacing w:before="20" w:after="20"/>
              <w:jc w:val="both"/>
              <w:rPr>
                <w:rFonts w:ascii="Arial" w:hAnsi="Arial"/>
                <w:sz w:val="22"/>
                <w:u w:val="single"/>
              </w:rPr>
            </w:pPr>
            <w:r w:rsidRPr="00CD6F4A">
              <w:rPr>
                <w:rFonts w:ascii="Arial" w:hAnsi="Arial"/>
                <w:sz w:val="22"/>
                <w:u w:val="single"/>
              </w:rPr>
              <w:t>Short term</w:t>
            </w:r>
          </w:p>
        </w:tc>
        <w:tc>
          <w:tcPr>
            <w:tcW w:w="1318" w:type="dxa"/>
          </w:tcPr>
          <w:p w:rsidR="00AD68E8" w:rsidRPr="00CD6F4A" w:rsidRDefault="00AD68E8" w:rsidP="00E226A7">
            <w:pPr>
              <w:pStyle w:val="Heading9"/>
              <w:spacing w:before="20" w:after="20"/>
              <w:rPr>
                <w:sz w:val="22"/>
              </w:rPr>
            </w:pPr>
          </w:p>
        </w:tc>
      </w:tr>
      <w:tr w:rsidR="00AD68E8" w:rsidRPr="00CD6F4A">
        <w:trPr>
          <w:trHeight w:val="288"/>
        </w:trPr>
        <w:tc>
          <w:tcPr>
            <w:tcW w:w="6507" w:type="dxa"/>
          </w:tcPr>
          <w:p w:rsidR="00AD68E8" w:rsidRPr="00CD6F4A" w:rsidRDefault="00214002" w:rsidP="00E226A7">
            <w:pPr>
              <w:spacing w:before="20" w:after="20"/>
              <w:jc w:val="both"/>
              <w:rPr>
                <w:rFonts w:ascii="Arial" w:hAnsi="Arial"/>
                <w:sz w:val="22"/>
              </w:rPr>
            </w:pPr>
            <w:r w:rsidRPr="00CD6F4A">
              <w:rPr>
                <w:rFonts w:ascii="Arial" w:hAnsi="Arial"/>
                <w:sz w:val="22"/>
              </w:rPr>
              <w:t xml:space="preserve">Term loans </w:t>
            </w:r>
            <w:r w:rsidR="00806A97" w:rsidRPr="00CD6F4A">
              <w:rPr>
                <w:rFonts w:ascii="Arial" w:hAnsi="Arial"/>
                <w:sz w:val="22"/>
              </w:rPr>
              <w:t>–</w:t>
            </w:r>
            <w:r w:rsidR="00AD68E8" w:rsidRPr="00CD6F4A">
              <w:rPr>
                <w:rFonts w:ascii="Arial" w:hAnsi="Arial"/>
                <w:sz w:val="22"/>
              </w:rPr>
              <w:t xml:space="preserve"> secured</w:t>
            </w:r>
          </w:p>
        </w:tc>
        <w:tc>
          <w:tcPr>
            <w:tcW w:w="1318" w:type="dxa"/>
            <w:shd w:val="clear" w:color="auto" w:fill="auto"/>
            <w:vAlign w:val="bottom"/>
          </w:tcPr>
          <w:p w:rsidR="00AD68E8" w:rsidRPr="00CD6F4A" w:rsidRDefault="00FB4B9F" w:rsidP="00E226A7">
            <w:pPr>
              <w:tabs>
                <w:tab w:val="decimal" w:pos="972"/>
              </w:tabs>
              <w:spacing w:before="20" w:after="20"/>
              <w:rPr>
                <w:rFonts w:ascii="Arial" w:hAnsi="Arial"/>
                <w:sz w:val="22"/>
              </w:rPr>
            </w:pPr>
            <w:r>
              <w:rPr>
                <w:rFonts w:ascii="Arial" w:hAnsi="Arial"/>
                <w:sz w:val="22"/>
              </w:rPr>
              <w:t>96</w:t>
            </w:r>
            <w:r w:rsidR="0019084C" w:rsidRPr="00CD6F4A">
              <w:rPr>
                <w:rFonts w:ascii="Arial" w:hAnsi="Arial"/>
                <w:sz w:val="22"/>
              </w:rPr>
              <w:t>,</w:t>
            </w:r>
            <w:r w:rsidR="00BE65B8">
              <w:rPr>
                <w:rFonts w:ascii="Arial" w:hAnsi="Arial"/>
                <w:sz w:val="22"/>
              </w:rPr>
              <w:t>962</w:t>
            </w:r>
          </w:p>
        </w:tc>
      </w:tr>
      <w:tr w:rsidR="00A76250" w:rsidRPr="00CD6F4A">
        <w:trPr>
          <w:trHeight w:val="288"/>
        </w:trPr>
        <w:tc>
          <w:tcPr>
            <w:tcW w:w="6507" w:type="dxa"/>
          </w:tcPr>
          <w:p w:rsidR="00A76250" w:rsidRPr="00CD6F4A" w:rsidRDefault="00A76250" w:rsidP="00E226A7">
            <w:pPr>
              <w:spacing w:before="20" w:after="20"/>
              <w:jc w:val="both"/>
              <w:rPr>
                <w:rFonts w:ascii="Arial" w:hAnsi="Arial"/>
                <w:sz w:val="22"/>
              </w:rPr>
            </w:pPr>
            <w:proofErr w:type="spellStart"/>
            <w:r w:rsidRPr="00CD6F4A">
              <w:rPr>
                <w:rFonts w:ascii="Arial" w:hAnsi="Arial"/>
                <w:sz w:val="22"/>
              </w:rPr>
              <w:t>Sukuk</w:t>
            </w:r>
            <w:proofErr w:type="spellEnd"/>
            <w:r w:rsidRPr="00CD6F4A">
              <w:rPr>
                <w:rFonts w:ascii="Arial" w:hAnsi="Arial"/>
                <w:sz w:val="22"/>
              </w:rPr>
              <w:t xml:space="preserve"> </w:t>
            </w:r>
            <w:proofErr w:type="spellStart"/>
            <w:r w:rsidRPr="00CD6F4A">
              <w:rPr>
                <w:rFonts w:ascii="Arial" w:hAnsi="Arial"/>
                <w:sz w:val="22"/>
              </w:rPr>
              <w:t>Ijarah</w:t>
            </w:r>
            <w:proofErr w:type="spellEnd"/>
            <w:r w:rsidRPr="00CD6F4A">
              <w:rPr>
                <w:rFonts w:ascii="Arial" w:hAnsi="Arial"/>
                <w:sz w:val="22"/>
              </w:rPr>
              <w:t xml:space="preserve"> – secured</w:t>
            </w:r>
          </w:p>
        </w:tc>
        <w:tc>
          <w:tcPr>
            <w:tcW w:w="1318" w:type="dxa"/>
            <w:vAlign w:val="bottom"/>
          </w:tcPr>
          <w:p w:rsidR="00A76250" w:rsidRPr="00CD6F4A" w:rsidRDefault="00A76250" w:rsidP="00E226A7">
            <w:pPr>
              <w:tabs>
                <w:tab w:val="decimal" w:pos="972"/>
              </w:tabs>
              <w:spacing w:before="20" w:after="20"/>
              <w:rPr>
                <w:rFonts w:ascii="Arial" w:hAnsi="Arial"/>
                <w:sz w:val="22"/>
              </w:rPr>
            </w:pPr>
            <w:r w:rsidRPr="00CD6F4A">
              <w:rPr>
                <w:rFonts w:ascii="Arial" w:hAnsi="Arial"/>
                <w:sz w:val="22"/>
              </w:rPr>
              <w:t>25,000</w:t>
            </w:r>
          </w:p>
        </w:tc>
      </w:tr>
      <w:tr w:rsidR="008431A2" w:rsidRPr="00CD6F4A">
        <w:trPr>
          <w:trHeight w:val="288"/>
        </w:trPr>
        <w:tc>
          <w:tcPr>
            <w:tcW w:w="6507" w:type="dxa"/>
          </w:tcPr>
          <w:p w:rsidR="008431A2" w:rsidRPr="00CD6F4A" w:rsidRDefault="009B058F" w:rsidP="00E226A7">
            <w:pPr>
              <w:spacing w:before="20" w:after="20"/>
              <w:jc w:val="both"/>
              <w:rPr>
                <w:rFonts w:ascii="Arial" w:hAnsi="Arial"/>
                <w:sz w:val="22"/>
              </w:rPr>
            </w:pPr>
            <w:proofErr w:type="spellStart"/>
            <w:r w:rsidRPr="00CD6F4A">
              <w:rPr>
                <w:rFonts w:ascii="Arial" w:hAnsi="Arial"/>
                <w:sz w:val="22"/>
              </w:rPr>
              <w:t>Murabahah</w:t>
            </w:r>
            <w:proofErr w:type="spellEnd"/>
            <w:r w:rsidRPr="00CD6F4A">
              <w:rPr>
                <w:rFonts w:ascii="Arial" w:hAnsi="Arial"/>
                <w:sz w:val="22"/>
              </w:rPr>
              <w:t xml:space="preserve"> Commercial Papers</w:t>
            </w:r>
            <w:r w:rsidR="00B730D8" w:rsidRPr="00CD6F4A">
              <w:rPr>
                <w:rFonts w:ascii="Arial" w:hAnsi="Arial"/>
                <w:sz w:val="22"/>
              </w:rPr>
              <w:t xml:space="preserve"> </w:t>
            </w:r>
            <w:r w:rsidR="008431A2" w:rsidRPr="00CD6F4A">
              <w:rPr>
                <w:rFonts w:ascii="Arial" w:hAnsi="Arial"/>
                <w:sz w:val="22"/>
              </w:rPr>
              <w:t>– secured</w:t>
            </w:r>
          </w:p>
        </w:tc>
        <w:tc>
          <w:tcPr>
            <w:tcW w:w="1318" w:type="dxa"/>
            <w:vAlign w:val="bottom"/>
          </w:tcPr>
          <w:p w:rsidR="008431A2" w:rsidRPr="00CD6F4A" w:rsidRDefault="006B5B23" w:rsidP="00E226A7">
            <w:pPr>
              <w:tabs>
                <w:tab w:val="decimal" w:pos="972"/>
              </w:tabs>
              <w:spacing w:before="20" w:after="20"/>
              <w:rPr>
                <w:rFonts w:ascii="Arial" w:hAnsi="Arial"/>
                <w:sz w:val="22"/>
              </w:rPr>
            </w:pPr>
            <w:r w:rsidRPr="00CD6F4A">
              <w:rPr>
                <w:rFonts w:ascii="Arial" w:hAnsi="Arial"/>
                <w:sz w:val="22"/>
              </w:rPr>
              <w:t>2</w:t>
            </w:r>
            <w:r w:rsidR="00664D62" w:rsidRPr="00CD6F4A">
              <w:rPr>
                <w:rFonts w:ascii="Arial" w:hAnsi="Arial"/>
                <w:sz w:val="22"/>
              </w:rPr>
              <w:t>5</w:t>
            </w:r>
            <w:r w:rsidR="001B6CC3" w:rsidRPr="00CD6F4A">
              <w:rPr>
                <w:rFonts w:ascii="Arial" w:hAnsi="Arial"/>
                <w:sz w:val="22"/>
              </w:rPr>
              <w:t>,000</w:t>
            </w:r>
          </w:p>
        </w:tc>
      </w:tr>
      <w:tr w:rsidR="00230CE8" w:rsidRPr="00CD6F4A">
        <w:trPr>
          <w:trHeight w:val="288"/>
        </w:trPr>
        <w:tc>
          <w:tcPr>
            <w:tcW w:w="6507" w:type="dxa"/>
          </w:tcPr>
          <w:p w:rsidR="00230CE8" w:rsidRPr="00CD6F4A" w:rsidRDefault="00230CE8" w:rsidP="00E226A7">
            <w:pPr>
              <w:spacing w:before="20" w:after="20"/>
              <w:jc w:val="both"/>
              <w:rPr>
                <w:rFonts w:ascii="Arial" w:hAnsi="Arial"/>
                <w:sz w:val="22"/>
              </w:rPr>
            </w:pPr>
            <w:r w:rsidRPr="00CD6F4A">
              <w:rPr>
                <w:rFonts w:ascii="Arial" w:hAnsi="Arial"/>
                <w:sz w:val="22"/>
              </w:rPr>
              <w:t xml:space="preserve">Revolving credits </w:t>
            </w:r>
            <w:r w:rsidR="00806A97" w:rsidRPr="00CD6F4A">
              <w:rPr>
                <w:rFonts w:ascii="Arial" w:hAnsi="Arial"/>
                <w:sz w:val="22"/>
              </w:rPr>
              <w:t>–</w:t>
            </w:r>
            <w:r w:rsidRPr="00CD6F4A">
              <w:rPr>
                <w:rFonts w:ascii="Arial" w:hAnsi="Arial"/>
                <w:sz w:val="22"/>
              </w:rPr>
              <w:t xml:space="preserve"> secured</w:t>
            </w:r>
          </w:p>
        </w:tc>
        <w:tc>
          <w:tcPr>
            <w:tcW w:w="1318" w:type="dxa"/>
            <w:vAlign w:val="bottom"/>
          </w:tcPr>
          <w:p w:rsidR="00230CE8" w:rsidRPr="00CD6F4A" w:rsidRDefault="005569A4" w:rsidP="00E226A7">
            <w:pPr>
              <w:tabs>
                <w:tab w:val="decimal" w:pos="972"/>
              </w:tabs>
              <w:spacing w:before="20" w:after="20"/>
              <w:rPr>
                <w:rFonts w:ascii="Arial" w:hAnsi="Arial"/>
                <w:sz w:val="22"/>
              </w:rPr>
            </w:pPr>
            <w:r>
              <w:rPr>
                <w:rFonts w:ascii="Arial" w:hAnsi="Arial"/>
                <w:sz w:val="22"/>
              </w:rPr>
              <w:t>75</w:t>
            </w:r>
            <w:r w:rsidR="001B6CC3" w:rsidRPr="00CD6F4A">
              <w:rPr>
                <w:rFonts w:ascii="Arial" w:hAnsi="Arial"/>
                <w:sz w:val="22"/>
              </w:rPr>
              <w:t>,000</w:t>
            </w:r>
          </w:p>
        </w:tc>
      </w:tr>
      <w:tr w:rsidR="00EE2B99" w:rsidRPr="00CD6F4A">
        <w:trPr>
          <w:trHeight w:val="288"/>
        </w:trPr>
        <w:tc>
          <w:tcPr>
            <w:tcW w:w="6507" w:type="dxa"/>
          </w:tcPr>
          <w:p w:rsidR="00EE2B99" w:rsidRPr="00CD6F4A" w:rsidRDefault="00EE2B99" w:rsidP="00E226A7">
            <w:pPr>
              <w:spacing w:before="20" w:after="20"/>
              <w:jc w:val="both"/>
              <w:rPr>
                <w:rFonts w:ascii="Arial" w:hAnsi="Arial"/>
                <w:sz w:val="22"/>
              </w:rPr>
            </w:pPr>
            <w:r w:rsidRPr="00CD6F4A">
              <w:rPr>
                <w:rFonts w:ascii="Arial" w:hAnsi="Arial"/>
                <w:sz w:val="22"/>
              </w:rPr>
              <w:t xml:space="preserve">Revolving credits </w:t>
            </w:r>
            <w:r w:rsidR="00AA16AE" w:rsidRPr="00CD6F4A">
              <w:rPr>
                <w:rFonts w:ascii="Arial" w:hAnsi="Arial"/>
                <w:sz w:val="22"/>
              </w:rPr>
              <w:t>–</w:t>
            </w:r>
            <w:r w:rsidRPr="00CD6F4A">
              <w:rPr>
                <w:rFonts w:ascii="Arial" w:hAnsi="Arial"/>
                <w:sz w:val="22"/>
              </w:rPr>
              <w:t xml:space="preserve"> unsecured</w:t>
            </w:r>
          </w:p>
        </w:tc>
        <w:tc>
          <w:tcPr>
            <w:tcW w:w="1318" w:type="dxa"/>
            <w:vAlign w:val="bottom"/>
          </w:tcPr>
          <w:p w:rsidR="00EE2B99" w:rsidRPr="00CD6F4A" w:rsidRDefault="006B5B23" w:rsidP="00E226A7">
            <w:pPr>
              <w:tabs>
                <w:tab w:val="decimal" w:pos="972"/>
              </w:tabs>
              <w:spacing w:before="20" w:after="20"/>
              <w:rPr>
                <w:rFonts w:ascii="Arial" w:hAnsi="Arial"/>
                <w:sz w:val="22"/>
              </w:rPr>
            </w:pPr>
            <w:r w:rsidRPr="00CD6F4A">
              <w:rPr>
                <w:rFonts w:ascii="Arial" w:hAnsi="Arial"/>
                <w:sz w:val="22"/>
              </w:rPr>
              <w:t>6</w:t>
            </w:r>
            <w:r w:rsidR="005569A4">
              <w:rPr>
                <w:rFonts w:ascii="Arial" w:hAnsi="Arial"/>
                <w:sz w:val="22"/>
              </w:rPr>
              <w:t>8</w:t>
            </w:r>
            <w:r w:rsidR="001B6CC3" w:rsidRPr="00CD6F4A">
              <w:rPr>
                <w:rFonts w:ascii="Arial" w:hAnsi="Arial"/>
                <w:sz w:val="22"/>
              </w:rPr>
              <w:t>,000</w:t>
            </w:r>
          </w:p>
        </w:tc>
      </w:tr>
      <w:tr w:rsidR="006B5ADA" w:rsidRPr="00CD6F4A">
        <w:trPr>
          <w:trHeight w:val="288"/>
        </w:trPr>
        <w:tc>
          <w:tcPr>
            <w:tcW w:w="6507" w:type="dxa"/>
          </w:tcPr>
          <w:p w:rsidR="006B5ADA" w:rsidRPr="00CD6F4A" w:rsidRDefault="006B5ADA" w:rsidP="00E226A7">
            <w:pPr>
              <w:spacing w:before="20" w:after="20"/>
              <w:jc w:val="both"/>
              <w:rPr>
                <w:rFonts w:ascii="Arial" w:hAnsi="Arial"/>
                <w:sz w:val="22"/>
              </w:rPr>
            </w:pPr>
            <w:r w:rsidRPr="00CD6F4A">
              <w:rPr>
                <w:rFonts w:ascii="Arial" w:hAnsi="Arial"/>
                <w:sz w:val="22"/>
              </w:rPr>
              <w:t>Irredeemable c</w:t>
            </w:r>
            <w:r w:rsidR="00AC0582" w:rsidRPr="00CD6F4A">
              <w:rPr>
                <w:rFonts w:ascii="Arial" w:hAnsi="Arial"/>
                <w:sz w:val="22"/>
              </w:rPr>
              <w:t>onvertible unsecured loan stocks</w:t>
            </w:r>
          </w:p>
        </w:tc>
        <w:tc>
          <w:tcPr>
            <w:tcW w:w="1318" w:type="dxa"/>
            <w:vAlign w:val="bottom"/>
          </w:tcPr>
          <w:p w:rsidR="006B5ADA" w:rsidRPr="00CD6F4A" w:rsidRDefault="006B5B23" w:rsidP="00E226A7">
            <w:pPr>
              <w:tabs>
                <w:tab w:val="decimal" w:pos="972"/>
              </w:tabs>
              <w:spacing w:before="20" w:after="20"/>
              <w:rPr>
                <w:rFonts w:ascii="Arial" w:hAnsi="Arial"/>
                <w:sz w:val="22"/>
              </w:rPr>
            </w:pPr>
            <w:r w:rsidRPr="00CD6F4A">
              <w:rPr>
                <w:rFonts w:ascii="Arial" w:hAnsi="Arial"/>
                <w:sz w:val="22"/>
              </w:rPr>
              <w:t>3,</w:t>
            </w:r>
            <w:r w:rsidR="00012C13">
              <w:rPr>
                <w:rFonts w:ascii="Arial" w:hAnsi="Arial"/>
                <w:sz w:val="22"/>
              </w:rPr>
              <w:t>452</w:t>
            </w:r>
          </w:p>
        </w:tc>
      </w:tr>
      <w:tr w:rsidR="006B5ADA" w:rsidRPr="00CD6F4A">
        <w:trPr>
          <w:trHeight w:val="288"/>
        </w:trPr>
        <w:tc>
          <w:tcPr>
            <w:tcW w:w="6507" w:type="dxa"/>
          </w:tcPr>
          <w:p w:rsidR="006B5ADA" w:rsidRPr="00CD6F4A" w:rsidRDefault="006B5ADA" w:rsidP="00E226A7">
            <w:pPr>
              <w:spacing w:before="20" w:after="20"/>
              <w:jc w:val="both"/>
              <w:rPr>
                <w:rFonts w:ascii="Arial" w:hAnsi="Arial"/>
                <w:sz w:val="22"/>
              </w:rPr>
            </w:pPr>
            <w:r w:rsidRPr="00CD6F4A">
              <w:rPr>
                <w:rFonts w:ascii="Arial" w:hAnsi="Arial"/>
                <w:b/>
                <w:sz w:val="22"/>
              </w:rPr>
              <w:t xml:space="preserve"> </w:t>
            </w:r>
            <w:r w:rsidRPr="00CD6F4A">
              <w:rPr>
                <w:rFonts w:ascii="Arial" w:hAnsi="Arial"/>
                <w:sz w:val="22"/>
              </w:rPr>
              <w:t xml:space="preserve">(debt component) </w:t>
            </w:r>
            <w:r w:rsidR="00806A97" w:rsidRPr="00CD6F4A">
              <w:rPr>
                <w:rFonts w:ascii="Arial" w:hAnsi="Arial"/>
                <w:sz w:val="22"/>
              </w:rPr>
              <w:t>–</w:t>
            </w:r>
            <w:r w:rsidRPr="00CD6F4A">
              <w:rPr>
                <w:rFonts w:ascii="Arial" w:hAnsi="Arial"/>
                <w:sz w:val="22"/>
              </w:rPr>
              <w:t xml:space="preserve"> unsecured</w:t>
            </w:r>
          </w:p>
        </w:tc>
        <w:tc>
          <w:tcPr>
            <w:tcW w:w="1318" w:type="dxa"/>
            <w:vAlign w:val="bottom"/>
          </w:tcPr>
          <w:p w:rsidR="006B5ADA" w:rsidRPr="00CD6F4A" w:rsidRDefault="006B5ADA" w:rsidP="00E226A7">
            <w:pPr>
              <w:tabs>
                <w:tab w:val="decimal" w:pos="972"/>
              </w:tabs>
              <w:spacing w:before="20" w:after="20"/>
              <w:rPr>
                <w:rFonts w:ascii="Arial" w:hAnsi="Arial"/>
                <w:sz w:val="22"/>
              </w:rPr>
            </w:pPr>
          </w:p>
        </w:tc>
      </w:tr>
      <w:tr w:rsidR="00AD68E8" w:rsidRPr="00CD6F4A">
        <w:trPr>
          <w:trHeight w:val="288"/>
        </w:trPr>
        <w:tc>
          <w:tcPr>
            <w:tcW w:w="6507" w:type="dxa"/>
          </w:tcPr>
          <w:p w:rsidR="00AD68E8" w:rsidRPr="00CD6F4A" w:rsidRDefault="00AD68E8" w:rsidP="00E226A7">
            <w:pPr>
              <w:spacing w:before="20" w:after="20"/>
              <w:jc w:val="both"/>
              <w:rPr>
                <w:rFonts w:ascii="Arial" w:hAnsi="Arial"/>
                <w:sz w:val="22"/>
              </w:rPr>
            </w:pPr>
          </w:p>
        </w:tc>
        <w:tc>
          <w:tcPr>
            <w:tcW w:w="1318" w:type="dxa"/>
            <w:tcBorders>
              <w:top w:val="single" w:sz="4" w:space="0" w:color="auto"/>
              <w:bottom w:val="single" w:sz="4" w:space="0" w:color="auto"/>
            </w:tcBorders>
            <w:vAlign w:val="bottom"/>
          </w:tcPr>
          <w:p w:rsidR="00AD68E8" w:rsidRPr="00CD6F4A" w:rsidRDefault="00B36E36" w:rsidP="00E226A7">
            <w:pPr>
              <w:tabs>
                <w:tab w:val="decimal" w:pos="972"/>
              </w:tabs>
              <w:spacing w:before="20" w:after="20"/>
              <w:rPr>
                <w:rFonts w:ascii="Arial" w:hAnsi="Arial"/>
                <w:sz w:val="22"/>
              </w:rPr>
            </w:pPr>
            <w:r>
              <w:rPr>
                <w:rFonts w:ascii="Arial" w:hAnsi="Arial"/>
                <w:sz w:val="22"/>
              </w:rPr>
              <w:t>293,</w:t>
            </w:r>
            <w:r w:rsidR="00BE65B8">
              <w:rPr>
                <w:rFonts w:ascii="Arial" w:hAnsi="Arial"/>
                <w:sz w:val="22"/>
              </w:rPr>
              <w:t>414</w:t>
            </w:r>
          </w:p>
        </w:tc>
      </w:tr>
      <w:tr w:rsidR="00AD68E8" w:rsidRPr="00CD6F4A">
        <w:trPr>
          <w:trHeight w:val="288"/>
        </w:trPr>
        <w:tc>
          <w:tcPr>
            <w:tcW w:w="6507" w:type="dxa"/>
          </w:tcPr>
          <w:p w:rsidR="00AD68E8" w:rsidRPr="00CD6F4A" w:rsidRDefault="00AD68E8" w:rsidP="00E226A7">
            <w:pPr>
              <w:spacing w:before="20" w:after="20"/>
              <w:jc w:val="both"/>
              <w:rPr>
                <w:rFonts w:ascii="Arial" w:hAnsi="Arial"/>
                <w:sz w:val="22"/>
                <w:u w:val="single"/>
              </w:rPr>
            </w:pPr>
            <w:r w:rsidRPr="00CD6F4A">
              <w:rPr>
                <w:rFonts w:ascii="Arial" w:hAnsi="Arial"/>
                <w:sz w:val="22"/>
                <w:u w:val="single"/>
              </w:rPr>
              <w:t>Long term</w:t>
            </w:r>
          </w:p>
        </w:tc>
        <w:tc>
          <w:tcPr>
            <w:tcW w:w="1318" w:type="dxa"/>
            <w:tcBorders>
              <w:top w:val="single" w:sz="4" w:space="0" w:color="auto"/>
            </w:tcBorders>
            <w:vAlign w:val="bottom"/>
          </w:tcPr>
          <w:p w:rsidR="00AD68E8" w:rsidRPr="00CD6F4A" w:rsidRDefault="00AD68E8" w:rsidP="00E226A7">
            <w:pPr>
              <w:pStyle w:val="Heading9"/>
              <w:tabs>
                <w:tab w:val="decimal" w:pos="972"/>
              </w:tabs>
              <w:spacing w:before="20" w:after="20"/>
              <w:jc w:val="left"/>
              <w:rPr>
                <w:sz w:val="22"/>
              </w:rPr>
            </w:pPr>
          </w:p>
        </w:tc>
      </w:tr>
      <w:tr w:rsidR="00AD68E8" w:rsidRPr="00CD6F4A">
        <w:trPr>
          <w:trHeight w:val="288"/>
        </w:trPr>
        <w:tc>
          <w:tcPr>
            <w:tcW w:w="6507" w:type="dxa"/>
          </w:tcPr>
          <w:p w:rsidR="00AD68E8" w:rsidRPr="00CD6F4A" w:rsidRDefault="00214002" w:rsidP="00E226A7">
            <w:pPr>
              <w:spacing w:before="20" w:after="20"/>
              <w:jc w:val="both"/>
              <w:rPr>
                <w:rFonts w:ascii="Arial" w:hAnsi="Arial"/>
                <w:sz w:val="22"/>
              </w:rPr>
            </w:pPr>
            <w:r w:rsidRPr="00CD6F4A">
              <w:rPr>
                <w:rFonts w:ascii="Arial" w:hAnsi="Arial"/>
                <w:sz w:val="22"/>
              </w:rPr>
              <w:t xml:space="preserve">Term loans </w:t>
            </w:r>
            <w:r w:rsidR="00806A97" w:rsidRPr="00CD6F4A">
              <w:rPr>
                <w:rFonts w:ascii="Arial" w:hAnsi="Arial"/>
                <w:sz w:val="22"/>
              </w:rPr>
              <w:t>–</w:t>
            </w:r>
            <w:r w:rsidR="00AD68E8" w:rsidRPr="00CD6F4A">
              <w:rPr>
                <w:rFonts w:ascii="Arial" w:hAnsi="Arial"/>
                <w:sz w:val="22"/>
              </w:rPr>
              <w:t xml:space="preserve"> secured</w:t>
            </w:r>
          </w:p>
        </w:tc>
        <w:tc>
          <w:tcPr>
            <w:tcW w:w="1318" w:type="dxa"/>
            <w:vAlign w:val="bottom"/>
          </w:tcPr>
          <w:p w:rsidR="00AD68E8" w:rsidRPr="00CD6F4A" w:rsidRDefault="00FB4B9F" w:rsidP="00E226A7">
            <w:pPr>
              <w:tabs>
                <w:tab w:val="decimal" w:pos="972"/>
              </w:tabs>
              <w:spacing w:before="20" w:after="20"/>
              <w:rPr>
                <w:rFonts w:ascii="Arial" w:hAnsi="Arial"/>
                <w:sz w:val="22"/>
              </w:rPr>
            </w:pPr>
            <w:r>
              <w:rPr>
                <w:rFonts w:ascii="Arial" w:hAnsi="Arial"/>
                <w:sz w:val="22"/>
              </w:rPr>
              <w:t>286,</w:t>
            </w:r>
            <w:r w:rsidR="00BE65B8">
              <w:rPr>
                <w:rFonts w:ascii="Arial" w:hAnsi="Arial"/>
                <w:sz w:val="22"/>
              </w:rPr>
              <w:t>676</w:t>
            </w:r>
          </w:p>
        </w:tc>
      </w:tr>
      <w:tr w:rsidR="0068307A" w:rsidRPr="00CD6F4A">
        <w:trPr>
          <w:trHeight w:val="288"/>
        </w:trPr>
        <w:tc>
          <w:tcPr>
            <w:tcW w:w="6507" w:type="dxa"/>
          </w:tcPr>
          <w:p w:rsidR="0068307A" w:rsidRPr="00CD6F4A" w:rsidRDefault="0068307A" w:rsidP="00E226A7">
            <w:pPr>
              <w:spacing w:before="20" w:after="20"/>
              <w:jc w:val="both"/>
              <w:rPr>
                <w:rFonts w:ascii="Arial" w:hAnsi="Arial"/>
                <w:sz w:val="22"/>
              </w:rPr>
            </w:pPr>
            <w:proofErr w:type="spellStart"/>
            <w:r w:rsidRPr="00CD6F4A">
              <w:rPr>
                <w:rFonts w:ascii="Arial" w:hAnsi="Arial"/>
                <w:sz w:val="22"/>
              </w:rPr>
              <w:t>Sukuk</w:t>
            </w:r>
            <w:proofErr w:type="spellEnd"/>
            <w:r w:rsidRPr="00CD6F4A">
              <w:rPr>
                <w:rFonts w:ascii="Arial" w:hAnsi="Arial"/>
                <w:sz w:val="22"/>
              </w:rPr>
              <w:t xml:space="preserve"> </w:t>
            </w:r>
            <w:proofErr w:type="spellStart"/>
            <w:r w:rsidRPr="00CD6F4A">
              <w:rPr>
                <w:rFonts w:ascii="Arial" w:hAnsi="Arial"/>
                <w:sz w:val="22"/>
              </w:rPr>
              <w:t>Ijarah</w:t>
            </w:r>
            <w:proofErr w:type="spellEnd"/>
            <w:r w:rsidRPr="00CD6F4A">
              <w:rPr>
                <w:rFonts w:ascii="Arial" w:hAnsi="Arial"/>
                <w:sz w:val="22"/>
              </w:rPr>
              <w:t xml:space="preserve"> </w:t>
            </w:r>
            <w:r w:rsidR="00806A97" w:rsidRPr="00CD6F4A">
              <w:rPr>
                <w:rFonts w:ascii="Arial" w:hAnsi="Arial"/>
                <w:sz w:val="22"/>
              </w:rPr>
              <w:t>–</w:t>
            </w:r>
            <w:r w:rsidR="00214002" w:rsidRPr="00CD6F4A">
              <w:rPr>
                <w:rFonts w:ascii="Arial" w:hAnsi="Arial"/>
                <w:sz w:val="22"/>
              </w:rPr>
              <w:t xml:space="preserve"> </w:t>
            </w:r>
            <w:r w:rsidRPr="00CD6F4A">
              <w:rPr>
                <w:rFonts w:ascii="Arial" w:hAnsi="Arial"/>
                <w:sz w:val="22"/>
              </w:rPr>
              <w:t>secured</w:t>
            </w:r>
          </w:p>
        </w:tc>
        <w:tc>
          <w:tcPr>
            <w:tcW w:w="1318" w:type="dxa"/>
            <w:vAlign w:val="bottom"/>
          </w:tcPr>
          <w:p w:rsidR="0068307A" w:rsidRPr="00CD6F4A" w:rsidRDefault="001B6CC3" w:rsidP="00E226A7">
            <w:pPr>
              <w:tabs>
                <w:tab w:val="decimal" w:pos="972"/>
              </w:tabs>
              <w:spacing w:before="20" w:after="20"/>
              <w:rPr>
                <w:rFonts w:ascii="Arial" w:hAnsi="Arial"/>
                <w:sz w:val="22"/>
              </w:rPr>
            </w:pPr>
            <w:r w:rsidRPr="00CD6F4A">
              <w:rPr>
                <w:rFonts w:ascii="Arial" w:hAnsi="Arial"/>
                <w:sz w:val="22"/>
              </w:rPr>
              <w:t>185,000</w:t>
            </w:r>
          </w:p>
        </w:tc>
      </w:tr>
      <w:tr w:rsidR="006B5B23" w:rsidRPr="00CD6F4A">
        <w:trPr>
          <w:trHeight w:val="288"/>
        </w:trPr>
        <w:tc>
          <w:tcPr>
            <w:tcW w:w="6507" w:type="dxa"/>
          </w:tcPr>
          <w:p w:rsidR="006B5B23" w:rsidRPr="00CD6F4A" w:rsidRDefault="006B5B23" w:rsidP="00E226A7">
            <w:pPr>
              <w:spacing w:before="20" w:after="20"/>
              <w:jc w:val="both"/>
              <w:rPr>
                <w:rFonts w:ascii="Arial" w:hAnsi="Arial"/>
                <w:sz w:val="22"/>
              </w:rPr>
            </w:pPr>
            <w:proofErr w:type="spellStart"/>
            <w:r w:rsidRPr="00CD6F4A">
              <w:rPr>
                <w:rFonts w:ascii="Arial" w:hAnsi="Arial"/>
                <w:sz w:val="22"/>
              </w:rPr>
              <w:t>Murabahah</w:t>
            </w:r>
            <w:proofErr w:type="spellEnd"/>
            <w:r w:rsidRPr="00CD6F4A">
              <w:rPr>
                <w:rFonts w:ascii="Arial" w:hAnsi="Arial"/>
                <w:sz w:val="22"/>
              </w:rPr>
              <w:t xml:space="preserve"> Medium Term Notes – secured</w:t>
            </w:r>
          </w:p>
        </w:tc>
        <w:tc>
          <w:tcPr>
            <w:tcW w:w="1318" w:type="dxa"/>
            <w:vAlign w:val="bottom"/>
          </w:tcPr>
          <w:p w:rsidR="006B5B23" w:rsidRPr="00CD6F4A" w:rsidRDefault="00B36E36" w:rsidP="00E226A7">
            <w:pPr>
              <w:tabs>
                <w:tab w:val="decimal" w:pos="972"/>
              </w:tabs>
              <w:spacing w:before="20" w:after="20"/>
              <w:rPr>
                <w:rFonts w:ascii="Arial" w:hAnsi="Arial"/>
                <w:sz w:val="22"/>
              </w:rPr>
            </w:pPr>
            <w:r>
              <w:rPr>
                <w:rFonts w:ascii="Arial" w:hAnsi="Arial"/>
                <w:sz w:val="22"/>
              </w:rPr>
              <w:t>100,000</w:t>
            </w:r>
          </w:p>
        </w:tc>
      </w:tr>
      <w:tr w:rsidR="00B157D1" w:rsidRPr="00CD6F4A">
        <w:trPr>
          <w:trHeight w:val="288"/>
        </w:trPr>
        <w:tc>
          <w:tcPr>
            <w:tcW w:w="6507" w:type="dxa"/>
          </w:tcPr>
          <w:p w:rsidR="00B157D1" w:rsidRPr="00CD6F4A" w:rsidRDefault="00B157D1" w:rsidP="00E226A7">
            <w:pPr>
              <w:spacing w:before="20" w:after="20"/>
              <w:jc w:val="both"/>
              <w:rPr>
                <w:rFonts w:ascii="Arial" w:hAnsi="Arial"/>
                <w:sz w:val="22"/>
              </w:rPr>
            </w:pPr>
            <w:r w:rsidRPr="00CD6F4A">
              <w:rPr>
                <w:rFonts w:ascii="Arial" w:hAnsi="Arial"/>
                <w:sz w:val="22"/>
              </w:rPr>
              <w:t>Irredeemable c</w:t>
            </w:r>
            <w:r w:rsidR="00AC0582" w:rsidRPr="00CD6F4A">
              <w:rPr>
                <w:rFonts w:ascii="Arial" w:hAnsi="Arial"/>
                <w:sz w:val="22"/>
              </w:rPr>
              <w:t>onvertible unsecured loan stocks</w:t>
            </w:r>
          </w:p>
        </w:tc>
        <w:tc>
          <w:tcPr>
            <w:tcW w:w="1318" w:type="dxa"/>
            <w:vAlign w:val="bottom"/>
          </w:tcPr>
          <w:p w:rsidR="00B157D1" w:rsidRPr="00CD6F4A" w:rsidRDefault="00530926" w:rsidP="00E226A7">
            <w:pPr>
              <w:tabs>
                <w:tab w:val="decimal" w:pos="972"/>
              </w:tabs>
              <w:spacing w:before="20" w:after="20"/>
              <w:rPr>
                <w:rFonts w:ascii="Arial" w:hAnsi="Arial"/>
                <w:sz w:val="22"/>
              </w:rPr>
            </w:pPr>
            <w:r w:rsidRPr="00CD6F4A">
              <w:rPr>
                <w:rFonts w:ascii="Arial" w:hAnsi="Arial"/>
                <w:sz w:val="22"/>
              </w:rPr>
              <w:t>1</w:t>
            </w:r>
            <w:r w:rsidR="00FB4B9F">
              <w:rPr>
                <w:rFonts w:ascii="Arial" w:hAnsi="Arial"/>
                <w:sz w:val="22"/>
              </w:rPr>
              <w:t>9,007</w:t>
            </w:r>
          </w:p>
        </w:tc>
      </w:tr>
      <w:tr w:rsidR="00B157D1" w:rsidRPr="00CD6F4A">
        <w:trPr>
          <w:trHeight w:val="288"/>
        </w:trPr>
        <w:tc>
          <w:tcPr>
            <w:tcW w:w="6507" w:type="dxa"/>
          </w:tcPr>
          <w:p w:rsidR="00B157D1" w:rsidRPr="00CD6F4A" w:rsidRDefault="00B157D1" w:rsidP="00E226A7">
            <w:pPr>
              <w:spacing w:before="20" w:after="20"/>
              <w:jc w:val="both"/>
              <w:rPr>
                <w:rFonts w:ascii="Arial" w:hAnsi="Arial"/>
                <w:sz w:val="22"/>
              </w:rPr>
            </w:pPr>
            <w:r w:rsidRPr="00CD6F4A">
              <w:rPr>
                <w:rFonts w:ascii="Arial" w:hAnsi="Arial"/>
                <w:b/>
                <w:sz w:val="22"/>
              </w:rPr>
              <w:t xml:space="preserve"> </w:t>
            </w:r>
            <w:r w:rsidRPr="00CD6F4A">
              <w:rPr>
                <w:rFonts w:ascii="Arial" w:hAnsi="Arial"/>
                <w:sz w:val="22"/>
              </w:rPr>
              <w:t xml:space="preserve">(debt component) </w:t>
            </w:r>
            <w:r w:rsidR="00AA16AE" w:rsidRPr="00CD6F4A">
              <w:rPr>
                <w:rFonts w:ascii="Arial" w:hAnsi="Arial"/>
                <w:sz w:val="22"/>
              </w:rPr>
              <w:t>–</w:t>
            </w:r>
            <w:r w:rsidRPr="00CD6F4A">
              <w:rPr>
                <w:rFonts w:ascii="Arial" w:hAnsi="Arial"/>
                <w:sz w:val="22"/>
              </w:rPr>
              <w:t xml:space="preserve"> unsecured</w:t>
            </w:r>
          </w:p>
        </w:tc>
        <w:tc>
          <w:tcPr>
            <w:tcW w:w="1318" w:type="dxa"/>
            <w:vAlign w:val="bottom"/>
          </w:tcPr>
          <w:p w:rsidR="00B157D1" w:rsidRPr="00CD6F4A" w:rsidRDefault="00B157D1" w:rsidP="00E226A7">
            <w:pPr>
              <w:tabs>
                <w:tab w:val="decimal" w:pos="972"/>
              </w:tabs>
              <w:spacing w:before="20" w:after="20"/>
              <w:rPr>
                <w:rFonts w:ascii="Arial" w:hAnsi="Arial"/>
                <w:sz w:val="22"/>
              </w:rPr>
            </w:pPr>
          </w:p>
        </w:tc>
      </w:tr>
      <w:tr w:rsidR="00530926" w:rsidRPr="00CD6F4A">
        <w:trPr>
          <w:trHeight w:val="288"/>
        </w:trPr>
        <w:tc>
          <w:tcPr>
            <w:tcW w:w="6507" w:type="dxa"/>
          </w:tcPr>
          <w:p w:rsidR="00530926" w:rsidRPr="00CD6F4A" w:rsidRDefault="00530926" w:rsidP="00E226A7">
            <w:pPr>
              <w:spacing w:before="20" w:after="20"/>
              <w:jc w:val="both"/>
              <w:rPr>
                <w:rFonts w:ascii="Arial" w:hAnsi="Arial"/>
                <w:b/>
                <w:sz w:val="22"/>
              </w:rPr>
            </w:pPr>
          </w:p>
        </w:tc>
        <w:tc>
          <w:tcPr>
            <w:tcW w:w="1318" w:type="dxa"/>
            <w:tcBorders>
              <w:top w:val="single" w:sz="4" w:space="0" w:color="auto"/>
              <w:bottom w:val="single" w:sz="4" w:space="0" w:color="auto"/>
            </w:tcBorders>
            <w:vAlign w:val="bottom"/>
          </w:tcPr>
          <w:p w:rsidR="00530926" w:rsidRPr="00CD6F4A" w:rsidRDefault="00B36E36" w:rsidP="00E226A7">
            <w:pPr>
              <w:tabs>
                <w:tab w:val="decimal" w:pos="972"/>
              </w:tabs>
              <w:spacing w:before="20" w:after="20"/>
              <w:rPr>
                <w:rFonts w:ascii="Arial" w:hAnsi="Arial"/>
                <w:sz w:val="22"/>
              </w:rPr>
            </w:pPr>
            <w:r>
              <w:rPr>
                <w:rFonts w:ascii="Arial" w:hAnsi="Arial"/>
                <w:sz w:val="22"/>
              </w:rPr>
              <w:t>5</w:t>
            </w:r>
            <w:r w:rsidR="00FB4B9F">
              <w:rPr>
                <w:rFonts w:ascii="Arial" w:hAnsi="Arial"/>
                <w:sz w:val="22"/>
              </w:rPr>
              <w:t>90,</w:t>
            </w:r>
            <w:r w:rsidR="00BE65B8">
              <w:rPr>
                <w:rFonts w:ascii="Arial" w:hAnsi="Arial"/>
                <w:sz w:val="22"/>
              </w:rPr>
              <w:t>683</w:t>
            </w:r>
          </w:p>
        </w:tc>
      </w:tr>
      <w:tr w:rsidR="00530926" w:rsidRPr="00CD6F4A">
        <w:trPr>
          <w:trHeight w:val="288"/>
        </w:trPr>
        <w:tc>
          <w:tcPr>
            <w:tcW w:w="6507" w:type="dxa"/>
          </w:tcPr>
          <w:p w:rsidR="00530926" w:rsidRPr="00CD6F4A" w:rsidRDefault="00530926" w:rsidP="00E226A7">
            <w:pPr>
              <w:spacing w:before="20" w:after="20"/>
              <w:jc w:val="both"/>
              <w:rPr>
                <w:rFonts w:ascii="Arial" w:hAnsi="Arial"/>
                <w:sz w:val="22"/>
              </w:rPr>
            </w:pPr>
            <w:r w:rsidRPr="00CD6F4A">
              <w:rPr>
                <w:rFonts w:ascii="Arial" w:hAnsi="Arial"/>
                <w:sz w:val="22"/>
              </w:rPr>
              <w:t>Total borrowings</w:t>
            </w:r>
          </w:p>
        </w:tc>
        <w:tc>
          <w:tcPr>
            <w:tcW w:w="1318" w:type="dxa"/>
            <w:tcBorders>
              <w:bottom w:val="single" w:sz="12" w:space="0" w:color="auto"/>
            </w:tcBorders>
            <w:vAlign w:val="bottom"/>
          </w:tcPr>
          <w:p w:rsidR="00530926" w:rsidRPr="00CD6F4A" w:rsidRDefault="00FB4B9F" w:rsidP="00E226A7">
            <w:pPr>
              <w:tabs>
                <w:tab w:val="decimal" w:pos="972"/>
              </w:tabs>
              <w:spacing w:before="20" w:after="20"/>
              <w:rPr>
                <w:rFonts w:ascii="Arial" w:hAnsi="Arial"/>
                <w:sz w:val="22"/>
              </w:rPr>
            </w:pPr>
            <w:r>
              <w:rPr>
                <w:rFonts w:ascii="Arial" w:hAnsi="Arial"/>
                <w:sz w:val="22"/>
              </w:rPr>
              <w:t>884,</w:t>
            </w:r>
            <w:r w:rsidR="00B36E36">
              <w:rPr>
                <w:rFonts w:ascii="Arial" w:hAnsi="Arial"/>
                <w:sz w:val="22"/>
              </w:rPr>
              <w:t>097</w:t>
            </w:r>
          </w:p>
        </w:tc>
      </w:tr>
    </w:tbl>
    <w:p w:rsidR="002F72DF" w:rsidRPr="00CD6F4A" w:rsidRDefault="002F72DF">
      <w:pPr>
        <w:jc w:val="both"/>
        <w:rPr>
          <w:rFonts w:ascii="Arial" w:hAnsi="Arial"/>
          <w:b/>
          <w:sz w:val="22"/>
        </w:rPr>
      </w:pPr>
    </w:p>
    <w:p w:rsidR="002F72DF" w:rsidRPr="00CD6F4A" w:rsidRDefault="00214002">
      <w:pPr>
        <w:jc w:val="both"/>
        <w:rPr>
          <w:rFonts w:ascii="Arial" w:hAnsi="Arial"/>
          <w:sz w:val="22"/>
        </w:rPr>
      </w:pPr>
      <w:r w:rsidRPr="00CD6F4A">
        <w:rPr>
          <w:rFonts w:ascii="Arial" w:hAnsi="Arial"/>
          <w:sz w:val="22"/>
        </w:rPr>
        <w:tab/>
        <w:t xml:space="preserve">All of the above borrowings are denominated in Ringgit </w:t>
      </w:r>
      <w:smartTag w:uri="urn:schemas-microsoft-com:office:smarttags" w:element="place">
        <w:smartTag w:uri="urn:schemas-microsoft-com:office:smarttags" w:element="country-region">
          <w:r w:rsidRPr="00CD6F4A">
            <w:rPr>
              <w:rFonts w:ascii="Arial" w:hAnsi="Arial"/>
              <w:sz w:val="22"/>
            </w:rPr>
            <w:t>Malaysia</w:t>
          </w:r>
        </w:smartTag>
      </w:smartTag>
      <w:r w:rsidRPr="00CD6F4A">
        <w:rPr>
          <w:rFonts w:ascii="Arial" w:hAnsi="Arial"/>
          <w:sz w:val="22"/>
        </w:rPr>
        <w:t>.</w:t>
      </w:r>
    </w:p>
    <w:p w:rsidR="00C1078A" w:rsidRPr="00CD6F4A" w:rsidRDefault="00C1078A">
      <w:pPr>
        <w:tabs>
          <w:tab w:val="left" w:pos="720"/>
        </w:tabs>
        <w:jc w:val="both"/>
        <w:rPr>
          <w:rFonts w:ascii="Arial" w:hAnsi="Arial"/>
          <w:sz w:val="22"/>
        </w:rPr>
      </w:pPr>
    </w:p>
    <w:p w:rsidR="00C1078A" w:rsidRPr="00CD6F4A" w:rsidRDefault="00C1078A">
      <w:pPr>
        <w:tabs>
          <w:tab w:val="left" w:pos="720"/>
        </w:tabs>
        <w:jc w:val="both"/>
        <w:rPr>
          <w:rFonts w:ascii="Arial" w:hAnsi="Arial"/>
          <w:sz w:val="22"/>
        </w:rPr>
      </w:pPr>
    </w:p>
    <w:p w:rsidR="00C1078A" w:rsidRPr="00CD6F4A" w:rsidRDefault="0027666A" w:rsidP="00C1078A">
      <w:pPr>
        <w:numPr>
          <w:ilvl w:val="0"/>
          <w:numId w:val="38"/>
        </w:numPr>
        <w:tabs>
          <w:tab w:val="clear" w:pos="1080"/>
        </w:tabs>
        <w:ind w:left="720"/>
        <w:jc w:val="both"/>
        <w:rPr>
          <w:rFonts w:ascii="Arial" w:hAnsi="Arial"/>
          <w:b/>
          <w:sz w:val="22"/>
        </w:rPr>
      </w:pPr>
      <w:r w:rsidRPr="00CD6F4A">
        <w:rPr>
          <w:rFonts w:ascii="Arial" w:hAnsi="Arial"/>
          <w:b/>
          <w:sz w:val="22"/>
        </w:rPr>
        <w:t>Derivative</w:t>
      </w:r>
      <w:r w:rsidR="00C1078A" w:rsidRPr="00CD6F4A">
        <w:rPr>
          <w:rFonts w:ascii="Arial" w:hAnsi="Arial"/>
          <w:b/>
          <w:sz w:val="22"/>
        </w:rPr>
        <w:t xml:space="preserve"> Financial Instruments</w:t>
      </w:r>
    </w:p>
    <w:p w:rsidR="00C1078A" w:rsidRPr="00CD6F4A" w:rsidRDefault="00C1078A" w:rsidP="00C1078A">
      <w:pPr>
        <w:ind w:left="720"/>
        <w:jc w:val="both"/>
        <w:rPr>
          <w:rFonts w:ascii="Arial" w:hAnsi="Arial"/>
          <w:sz w:val="22"/>
        </w:rPr>
      </w:pPr>
    </w:p>
    <w:p w:rsidR="00C1078A" w:rsidRPr="00CD6F4A" w:rsidRDefault="00C1078A" w:rsidP="00C1078A">
      <w:pPr>
        <w:ind w:left="720"/>
        <w:jc w:val="both"/>
        <w:rPr>
          <w:rFonts w:ascii="Arial" w:hAnsi="Arial" w:cs="Arial"/>
          <w:sz w:val="22"/>
          <w:szCs w:val="22"/>
        </w:rPr>
      </w:pPr>
      <w:r w:rsidRPr="00CD6F4A">
        <w:rPr>
          <w:rFonts w:ascii="Arial" w:hAnsi="Arial" w:cs="Arial"/>
          <w:sz w:val="22"/>
          <w:szCs w:val="22"/>
        </w:rPr>
        <w:t xml:space="preserve">There was no </w:t>
      </w:r>
      <w:r w:rsidR="0027666A" w:rsidRPr="00CD6F4A">
        <w:rPr>
          <w:rFonts w:ascii="Arial" w:hAnsi="Arial" w:cs="Arial"/>
          <w:sz w:val="22"/>
          <w:szCs w:val="22"/>
        </w:rPr>
        <w:t>derivative</w:t>
      </w:r>
      <w:r w:rsidRPr="00CD6F4A">
        <w:rPr>
          <w:rFonts w:ascii="Arial" w:hAnsi="Arial" w:cs="Arial"/>
          <w:sz w:val="22"/>
          <w:szCs w:val="22"/>
        </w:rPr>
        <w:t xml:space="preserve"> financial instrument issued </w:t>
      </w:r>
      <w:r w:rsidR="00D453B9" w:rsidRPr="00CD6F4A">
        <w:rPr>
          <w:rFonts w:ascii="Arial" w:hAnsi="Arial"/>
          <w:sz w:val="22"/>
        </w:rPr>
        <w:t>as at the end of the current quarter</w:t>
      </w:r>
      <w:r w:rsidR="004D00F2" w:rsidRPr="00CD6F4A">
        <w:rPr>
          <w:rFonts w:ascii="Arial" w:hAnsi="Arial"/>
          <w:sz w:val="22"/>
        </w:rPr>
        <w:t>.</w:t>
      </w:r>
    </w:p>
    <w:p w:rsidR="00C1078A" w:rsidRPr="00CD6F4A" w:rsidRDefault="00C1078A" w:rsidP="00C1078A">
      <w:pPr>
        <w:tabs>
          <w:tab w:val="left" w:pos="720"/>
        </w:tabs>
        <w:jc w:val="both"/>
        <w:rPr>
          <w:rFonts w:ascii="Arial" w:hAnsi="Arial"/>
          <w:sz w:val="22"/>
          <w:szCs w:val="22"/>
        </w:rPr>
      </w:pPr>
    </w:p>
    <w:p w:rsidR="00D453B9" w:rsidRPr="00CD6F4A" w:rsidRDefault="00D453B9" w:rsidP="00C1078A">
      <w:pPr>
        <w:tabs>
          <w:tab w:val="left" w:pos="720"/>
        </w:tabs>
        <w:jc w:val="both"/>
        <w:rPr>
          <w:rFonts w:ascii="Arial" w:hAnsi="Arial"/>
          <w:sz w:val="22"/>
          <w:szCs w:val="22"/>
        </w:rPr>
      </w:pPr>
    </w:p>
    <w:p w:rsidR="00D453B9" w:rsidRPr="00CD6F4A" w:rsidRDefault="00D453B9" w:rsidP="00D453B9">
      <w:pPr>
        <w:numPr>
          <w:ilvl w:val="0"/>
          <w:numId w:val="38"/>
        </w:numPr>
        <w:tabs>
          <w:tab w:val="clear" w:pos="1080"/>
        </w:tabs>
        <w:ind w:left="720"/>
        <w:jc w:val="both"/>
        <w:rPr>
          <w:rFonts w:ascii="Arial" w:hAnsi="Arial"/>
          <w:b/>
          <w:sz w:val="22"/>
        </w:rPr>
      </w:pPr>
      <w:r w:rsidRPr="00CD6F4A">
        <w:rPr>
          <w:rFonts w:ascii="Arial" w:hAnsi="Arial"/>
          <w:b/>
          <w:sz w:val="22"/>
        </w:rPr>
        <w:t>Gain</w:t>
      </w:r>
      <w:r w:rsidR="0097534E" w:rsidRPr="00CD6F4A">
        <w:rPr>
          <w:rFonts w:ascii="Arial" w:hAnsi="Arial"/>
          <w:b/>
          <w:sz w:val="22"/>
        </w:rPr>
        <w:t>s</w:t>
      </w:r>
      <w:r w:rsidRPr="00CD6F4A">
        <w:rPr>
          <w:rFonts w:ascii="Arial" w:hAnsi="Arial"/>
          <w:b/>
          <w:sz w:val="22"/>
        </w:rPr>
        <w:t xml:space="preserve"> or Loss</w:t>
      </w:r>
      <w:r w:rsidR="0097534E" w:rsidRPr="00CD6F4A">
        <w:rPr>
          <w:rFonts w:ascii="Arial" w:hAnsi="Arial"/>
          <w:b/>
          <w:sz w:val="22"/>
        </w:rPr>
        <w:t>es</w:t>
      </w:r>
      <w:r w:rsidRPr="00CD6F4A">
        <w:rPr>
          <w:rFonts w:ascii="Arial" w:hAnsi="Arial"/>
          <w:b/>
          <w:sz w:val="22"/>
        </w:rPr>
        <w:t xml:space="preserve"> arising from Fair Value Changes of Financial Liabilities</w:t>
      </w:r>
    </w:p>
    <w:p w:rsidR="00C1078A" w:rsidRPr="00CD6F4A" w:rsidRDefault="00C1078A" w:rsidP="00C1078A">
      <w:pPr>
        <w:tabs>
          <w:tab w:val="left" w:pos="720"/>
        </w:tabs>
        <w:jc w:val="both"/>
        <w:rPr>
          <w:rFonts w:ascii="Arial" w:hAnsi="Arial"/>
          <w:sz w:val="22"/>
          <w:szCs w:val="22"/>
        </w:rPr>
      </w:pPr>
    </w:p>
    <w:p w:rsidR="00D453B9" w:rsidRPr="00CD6F4A" w:rsidRDefault="0097534E" w:rsidP="00D453B9">
      <w:pPr>
        <w:tabs>
          <w:tab w:val="left" w:pos="720"/>
        </w:tabs>
        <w:ind w:left="720"/>
        <w:jc w:val="both"/>
        <w:rPr>
          <w:rFonts w:ascii="Arial" w:hAnsi="Arial"/>
          <w:sz w:val="22"/>
          <w:szCs w:val="22"/>
        </w:rPr>
      </w:pPr>
      <w:r w:rsidRPr="00CD6F4A">
        <w:rPr>
          <w:rFonts w:ascii="Arial" w:hAnsi="Arial"/>
          <w:sz w:val="22"/>
          <w:szCs w:val="22"/>
        </w:rPr>
        <w:t>All financial liabilities were measure</w:t>
      </w:r>
      <w:r w:rsidR="004D00F2" w:rsidRPr="00CD6F4A">
        <w:rPr>
          <w:rFonts w:ascii="Arial" w:hAnsi="Arial"/>
          <w:sz w:val="22"/>
          <w:szCs w:val="22"/>
        </w:rPr>
        <w:t>d</w:t>
      </w:r>
      <w:r w:rsidRPr="00CD6F4A">
        <w:rPr>
          <w:rFonts w:ascii="Arial" w:hAnsi="Arial"/>
          <w:sz w:val="22"/>
          <w:szCs w:val="22"/>
        </w:rPr>
        <w:t xml:space="preserve"> </w:t>
      </w:r>
      <w:r w:rsidR="001F1229" w:rsidRPr="00CD6F4A">
        <w:rPr>
          <w:rFonts w:ascii="Arial" w:hAnsi="Arial"/>
          <w:sz w:val="22"/>
          <w:szCs w:val="22"/>
        </w:rPr>
        <w:t>using the</w:t>
      </w:r>
      <w:r w:rsidRPr="00CD6F4A">
        <w:rPr>
          <w:rFonts w:ascii="Arial" w:hAnsi="Arial"/>
          <w:sz w:val="22"/>
          <w:szCs w:val="22"/>
        </w:rPr>
        <w:t xml:space="preserve"> </w:t>
      </w:r>
      <w:proofErr w:type="spellStart"/>
      <w:r w:rsidRPr="00CD6F4A">
        <w:rPr>
          <w:rFonts w:ascii="Arial" w:hAnsi="Arial"/>
          <w:sz w:val="22"/>
          <w:szCs w:val="22"/>
        </w:rPr>
        <w:t>amortised</w:t>
      </w:r>
      <w:proofErr w:type="spellEnd"/>
      <w:r w:rsidRPr="00CD6F4A">
        <w:rPr>
          <w:rFonts w:ascii="Arial" w:hAnsi="Arial"/>
          <w:sz w:val="22"/>
          <w:szCs w:val="22"/>
        </w:rPr>
        <w:t xml:space="preserve"> cost effective interest method. Accordingly, there </w:t>
      </w:r>
      <w:r w:rsidR="001F1229" w:rsidRPr="00CD6F4A">
        <w:rPr>
          <w:rFonts w:ascii="Arial" w:hAnsi="Arial"/>
          <w:sz w:val="22"/>
          <w:szCs w:val="22"/>
        </w:rPr>
        <w:t>was</w:t>
      </w:r>
      <w:r w:rsidRPr="00CD6F4A">
        <w:rPr>
          <w:rFonts w:ascii="Arial" w:hAnsi="Arial"/>
          <w:sz w:val="22"/>
          <w:szCs w:val="22"/>
        </w:rPr>
        <w:t xml:space="preserve"> no fair value gain or loss arising from fair value changes of financial liabilities for the current financial year to date.</w:t>
      </w:r>
    </w:p>
    <w:p w:rsidR="00D453B9" w:rsidRPr="00CD6F4A" w:rsidRDefault="00D453B9" w:rsidP="00C1078A">
      <w:pPr>
        <w:tabs>
          <w:tab w:val="left" w:pos="720"/>
        </w:tabs>
        <w:jc w:val="both"/>
        <w:rPr>
          <w:rFonts w:ascii="Arial" w:hAnsi="Arial"/>
          <w:sz w:val="22"/>
          <w:szCs w:val="22"/>
        </w:rPr>
      </w:pPr>
      <w:r w:rsidRPr="00CD6F4A">
        <w:rPr>
          <w:rFonts w:ascii="Arial" w:hAnsi="Arial"/>
          <w:sz w:val="22"/>
          <w:szCs w:val="22"/>
        </w:rPr>
        <w:tab/>
      </w:r>
    </w:p>
    <w:p w:rsidR="00D453B9" w:rsidRPr="00CD6F4A" w:rsidRDefault="00D453B9" w:rsidP="00C1078A">
      <w:pPr>
        <w:tabs>
          <w:tab w:val="left" w:pos="720"/>
        </w:tabs>
        <w:jc w:val="both"/>
        <w:rPr>
          <w:rFonts w:ascii="Arial" w:hAnsi="Arial"/>
          <w:sz w:val="22"/>
          <w:szCs w:val="22"/>
        </w:rPr>
      </w:pPr>
    </w:p>
    <w:p w:rsidR="00C1078A" w:rsidRPr="00CD6F4A" w:rsidRDefault="00C1078A" w:rsidP="00C1078A">
      <w:pPr>
        <w:numPr>
          <w:ilvl w:val="0"/>
          <w:numId w:val="38"/>
        </w:numPr>
        <w:tabs>
          <w:tab w:val="clear" w:pos="1080"/>
        </w:tabs>
        <w:ind w:left="720"/>
        <w:jc w:val="both"/>
        <w:rPr>
          <w:rFonts w:ascii="Arial" w:hAnsi="Arial"/>
          <w:b/>
          <w:sz w:val="22"/>
        </w:rPr>
      </w:pPr>
      <w:r w:rsidRPr="00CD6F4A">
        <w:rPr>
          <w:rFonts w:ascii="Arial" w:hAnsi="Arial"/>
          <w:b/>
          <w:sz w:val="22"/>
        </w:rPr>
        <w:t>Material Litigation</w:t>
      </w:r>
    </w:p>
    <w:p w:rsidR="00C1078A" w:rsidRPr="00CD6F4A" w:rsidRDefault="00C1078A" w:rsidP="00C1078A">
      <w:pPr>
        <w:ind w:left="720"/>
        <w:jc w:val="both"/>
        <w:rPr>
          <w:rFonts w:ascii="Arial" w:hAnsi="Arial"/>
          <w:sz w:val="22"/>
        </w:rPr>
      </w:pPr>
    </w:p>
    <w:p w:rsidR="00C1078A" w:rsidRPr="00CD6F4A" w:rsidRDefault="00C1078A" w:rsidP="00C1078A">
      <w:pPr>
        <w:ind w:left="720"/>
        <w:jc w:val="both"/>
        <w:rPr>
          <w:rFonts w:ascii="Arial" w:hAnsi="Arial"/>
          <w:sz w:val="22"/>
        </w:rPr>
      </w:pPr>
      <w:r w:rsidRPr="00CD6F4A">
        <w:rPr>
          <w:rFonts w:ascii="Arial" w:hAnsi="Arial"/>
          <w:sz w:val="22"/>
        </w:rPr>
        <w:t xml:space="preserve">There was no material litigation </w:t>
      </w:r>
      <w:r w:rsidR="00F4541A">
        <w:rPr>
          <w:rFonts w:ascii="Arial" w:hAnsi="Arial" w:cs="Arial"/>
          <w:sz w:val="22"/>
          <w:szCs w:val="22"/>
        </w:rPr>
        <w:t>as at 11 August</w:t>
      </w:r>
      <w:r w:rsidRPr="00CD6F4A">
        <w:rPr>
          <w:rFonts w:ascii="Arial" w:hAnsi="Arial" w:cs="Arial"/>
          <w:sz w:val="22"/>
          <w:szCs w:val="22"/>
        </w:rPr>
        <w:t xml:space="preserve"> 2010, being the latest practicable date.</w:t>
      </w:r>
    </w:p>
    <w:p w:rsidR="00416EDC" w:rsidRPr="00CD6F4A" w:rsidRDefault="00C2039D" w:rsidP="00C1078A">
      <w:pPr>
        <w:tabs>
          <w:tab w:val="left" w:pos="720"/>
        </w:tabs>
        <w:jc w:val="both"/>
        <w:rPr>
          <w:rFonts w:ascii="Arial" w:hAnsi="Arial"/>
          <w:b/>
          <w:sz w:val="22"/>
          <w:szCs w:val="22"/>
        </w:rPr>
      </w:pPr>
      <w:r w:rsidRPr="00CD6F4A">
        <w:rPr>
          <w:rFonts w:ascii="Arial" w:hAnsi="Arial"/>
          <w:sz w:val="22"/>
        </w:rPr>
        <w:br w:type="page"/>
      </w:r>
    </w:p>
    <w:p w:rsidR="001904C2" w:rsidRPr="00CD6F4A" w:rsidRDefault="001904C2" w:rsidP="00471B3B">
      <w:pPr>
        <w:numPr>
          <w:ilvl w:val="0"/>
          <w:numId w:val="38"/>
        </w:numPr>
        <w:tabs>
          <w:tab w:val="clear" w:pos="1080"/>
        </w:tabs>
        <w:ind w:left="720"/>
        <w:jc w:val="both"/>
        <w:rPr>
          <w:rFonts w:ascii="Arial" w:hAnsi="Arial"/>
          <w:b/>
          <w:sz w:val="22"/>
        </w:rPr>
      </w:pPr>
      <w:r w:rsidRPr="00CD6F4A">
        <w:rPr>
          <w:rFonts w:ascii="Arial" w:hAnsi="Arial"/>
          <w:b/>
          <w:sz w:val="22"/>
        </w:rPr>
        <w:lastRenderedPageBreak/>
        <w:t>Dividend</w:t>
      </w:r>
    </w:p>
    <w:p w:rsidR="005205FB" w:rsidRPr="00CD6F4A" w:rsidRDefault="005205FB" w:rsidP="00A86C1F">
      <w:pPr>
        <w:jc w:val="both"/>
        <w:rPr>
          <w:rFonts w:ascii="Arial" w:hAnsi="Arial"/>
          <w:b/>
          <w:sz w:val="22"/>
          <w:szCs w:val="22"/>
        </w:rPr>
      </w:pPr>
    </w:p>
    <w:p w:rsidR="00D34A21" w:rsidRPr="00CD6F4A" w:rsidRDefault="00763210" w:rsidP="00A86C1F">
      <w:pPr>
        <w:ind w:left="720"/>
        <w:jc w:val="both"/>
        <w:rPr>
          <w:rFonts w:ascii="Arial" w:hAnsi="Arial"/>
          <w:sz w:val="22"/>
        </w:rPr>
      </w:pPr>
      <w:r w:rsidRPr="00CD6F4A">
        <w:rPr>
          <w:rFonts w:ascii="Arial" w:hAnsi="Arial"/>
          <w:sz w:val="22"/>
        </w:rPr>
        <w:t>The Board of Directors does not recommend any dividen</w:t>
      </w:r>
      <w:r w:rsidR="00D96C87">
        <w:rPr>
          <w:rFonts w:ascii="Arial" w:hAnsi="Arial"/>
          <w:sz w:val="22"/>
        </w:rPr>
        <w:t>d for the quarter ended 30 June</w:t>
      </w:r>
      <w:r w:rsidRPr="00CD6F4A">
        <w:rPr>
          <w:rFonts w:ascii="Arial" w:hAnsi="Arial"/>
          <w:sz w:val="22"/>
        </w:rPr>
        <w:t xml:space="preserve"> 2010</w:t>
      </w:r>
      <w:r w:rsidR="00A86C1F" w:rsidRPr="00CD6F4A">
        <w:rPr>
          <w:rFonts w:ascii="Arial" w:hAnsi="Arial"/>
          <w:sz w:val="22"/>
        </w:rPr>
        <w:t>.</w:t>
      </w:r>
    </w:p>
    <w:p w:rsidR="008B5C34" w:rsidRPr="00CD6F4A" w:rsidRDefault="008B5C34">
      <w:pPr>
        <w:tabs>
          <w:tab w:val="left" w:pos="720"/>
        </w:tabs>
        <w:jc w:val="both"/>
        <w:rPr>
          <w:rFonts w:ascii="Arial" w:hAnsi="Arial"/>
          <w:b/>
          <w:sz w:val="22"/>
          <w:szCs w:val="22"/>
        </w:rPr>
      </w:pPr>
    </w:p>
    <w:p w:rsidR="00781511" w:rsidRPr="00CD6F4A" w:rsidRDefault="00781511">
      <w:pPr>
        <w:tabs>
          <w:tab w:val="left" w:pos="720"/>
        </w:tabs>
        <w:jc w:val="both"/>
        <w:rPr>
          <w:rFonts w:ascii="Arial" w:hAnsi="Arial"/>
          <w:b/>
          <w:sz w:val="22"/>
          <w:szCs w:val="22"/>
        </w:rPr>
      </w:pPr>
    </w:p>
    <w:p w:rsidR="002F72DF" w:rsidRPr="00CD6F4A" w:rsidRDefault="002A6E9A" w:rsidP="00471B3B">
      <w:pPr>
        <w:numPr>
          <w:ilvl w:val="0"/>
          <w:numId w:val="38"/>
        </w:numPr>
        <w:tabs>
          <w:tab w:val="clear" w:pos="1080"/>
        </w:tabs>
        <w:ind w:left="720"/>
        <w:jc w:val="both"/>
        <w:rPr>
          <w:rFonts w:ascii="Arial" w:hAnsi="Arial"/>
          <w:b/>
          <w:sz w:val="22"/>
        </w:rPr>
      </w:pPr>
      <w:r w:rsidRPr="00CD6F4A">
        <w:rPr>
          <w:rFonts w:ascii="Arial" w:hAnsi="Arial"/>
          <w:b/>
          <w:sz w:val="22"/>
        </w:rPr>
        <w:t>Earnings</w:t>
      </w:r>
      <w:r w:rsidR="0075731D" w:rsidRPr="00CD6F4A">
        <w:rPr>
          <w:rFonts w:ascii="Arial" w:hAnsi="Arial"/>
          <w:b/>
          <w:sz w:val="22"/>
        </w:rPr>
        <w:t xml:space="preserve"> P</w:t>
      </w:r>
      <w:r w:rsidR="002F72DF" w:rsidRPr="00CD6F4A">
        <w:rPr>
          <w:rFonts w:ascii="Arial" w:hAnsi="Arial"/>
          <w:b/>
          <w:sz w:val="22"/>
        </w:rPr>
        <w:t xml:space="preserve">er </w:t>
      </w:r>
      <w:r w:rsidR="0075731D" w:rsidRPr="00CD6F4A">
        <w:rPr>
          <w:rFonts w:ascii="Arial" w:hAnsi="Arial"/>
          <w:b/>
          <w:sz w:val="22"/>
        </w:rPr>
        <w:t>S</w:t>
      </w:r>
      <w:r w:rsidR="002F72DF" w:rsidRPr="00CD6F4A">
        <w:rPr>
          <w:rFonts w:ascii="Arial" w:hAnsi="Arial"/>
          <w:b/>
          <w:sz w:val="22"/>
        </w:rPr>
        <w:t xml:space="preserve">hare </w:t>
      </w:r>
    </w:p>
    <w:p w:rsidR="009A767D" w:rsidRPr="00CD6F4A" w:rsidRDefault="009A767D">
      <w:pPr>
        <w:pStyle w:val="BodyTextIndent3"/>
        <w:ind w:left="0"/>
      </w:pPr>
    </w:p>
    <w:p w:rsidR="005D704A" w:rsidRPr="00CD6F4A" w:rsidRDefault="005D704A" w:rsidP="005D704A">
      <w:pPr>
        <w:pStyle w:val="BodyText"/>
        <w:numPr>
          <w:ilvl w:val="0"/>
          <w:numId w:val="30"/>
        </w:numPr>
        <w:rPr>
          <w:b/>
          <w:sz w:val="22"/>
          <w:szCs w:val="22"/>
        </w:rPr>
      </w:pPr>
      <w:r w:rsidRPr="00CD6F4A">
        <w:rPr>
          <w:b/>
          <w:sz w:val="22"/>
          <w:szCs w:val="22"/>
        </w:rPr>
        <w:t xml:space="preserve">Basic </w:t>
      </w:r>
      <w:r w:rsidR="002A6E9A" w:rsidRPr="00CD6F4A">
        <w:rPr>
          <w:b/>
          <w:sz w:val="22"/>
          <w:szCs w:val="22"/>
        </w:rPr>
        <w:t>earnings</w:t>
      </w:r>
      <w:r w:rsidRPr="00CD6F4A">
        <w:rPr>
          <w:b/>
          <w:sz w:val="22"/>
          <w:szCs w:val="22"/>
        </w:rPr>
        <w:t xml:space="preserve"> per share</w:t>
      </w:r>
    </w:p>
    <w:p w:rsidR="005D704A" w:rsidRPr="00CD6F4A" w:rsidRDefault="005D704A">
      <w:pPr>
        <w:pStyle w:val="BodyTextIndent3"/>
        <w:ind w:left="0"/>
        <w:rPr>
          <w:szCs w:val="22"/>
        </w:rPr>
      </w:pPr>
    </w:p>
    <w:p w:rsidR="002F72DF" w:rsidRPr="00CD6F4A" w:rsidRDefault="002F72DF" w:rsidP="005D704A">
      <w:pPr>
        <w:pStyle w:val="BodyTextIndent3"/>
        <w:ind w:left="1440"/>
        <w:rPr>
          <w:szCs w:val="22"/>
        </w:rPr>
      </w:pPr>
      <w:r w:rsidRPr="00CD6F4A">
        <w:rPr>
          <w:szCs w:val="22"/>
        </w:rPr>
        <w:t xml:space="preserve">The basic </w:t>
      </w:r>
      <w:r w:rsidR="002A6E9A" w:rsidRPr="00CD6F4A">
        <w:rPr>
          <w:szCs w:val="22"/>
        </w:rPr>
        <w:t>earnings</w:t>
      </w:r>
      <w:r w:rsidRPr="00CD6F4A">
        <w:rPr>
          <w:szCs w:val="22"/>
        </w:rPr>
        <w:t xml:space="preserve"> per share </w:t>
      </w:r>
      <w:r w:rsidR="00347353" w:rsidRPr="00CD6F4A">
        <w:rPr>
          <w:szCs w:val="22"/>
        </w:rPr>
        <w:t>for the current year</w:t>
      </w:r>
      <w:r w:rsidR="00230CE8" w:rsidRPr="00CD6F4A">
        <w:rPr>
          <w:szCs w:val="22"/>
        </w:rPr>
        <w:t xml:space="preserve"> </w:t>
      </w:r>
      <w:r w:rsidR="0097534E" w:rsidRPr="00CD6F4A">
        <w:rPr>
          <w:szCs w:val="22"/>
        </w:rPr>
        <w:t xml:space="preserve">to date </w:t>
      </w:r>
      <w:r w:rsidRPr="00CD6F4A">
        <w:rPr>
          <w:szCs w:val="22"/>
        </w:rPr>
        <w:t xml:space="preserve">is calculated </w:t>
      </w:r>
      <w:r w:rsidR="0075731D" w:rsidRPr="00CD6F4A">
        <w:rPr>
          <w:szCs w:val="22"/>
        </w:rPr>
        <w:t xml:space="preserve">by dividing the </w:t>
      </w:r>
      <w:r w:rsidR="002A6E9A" w:rsidRPr="00CD6F4A">
        <w:rPr>
          <w:szCs w:val="22"/>
        </w:rPr>
        <w:t>profit</w:t>
      </w:r>
      <w:r w:rsidR="0075731D" w:rsidRPr="00CD6F4A">
        <w:rPr>
          <w:szCs w:val="22"/>
        </w:rPr>
        <w:t xml:space="preserve"> </w:t>
      </w:r>
      <w:r w:rsidR="00452DE6" w:rsidRPr="00CD6F4A">
        <w:rPr>
          <w:szCs w:val="22"/>
        </w:rPr>
        <w:t xml:space="preserve">for the </w:t>
      </w:r>
      <w:r w:rsidR="0097534E" w:rsidRPr="00CD6F4A">
        <w:rPr>
          <w:szCs w:val="22"/>
        </w:rPr>
        <w:t>period</w:t>
      </w:r>
      <w:r w:rsidR="00452DE6" w:rsidRPr="00CD6F4A">
        <w:rPr>
          <w:szCs w:val="22"/>
        </w:rPr>
        <w:t xml:space="preserve"> </w:t>
      </w:r>
      <w:r w:rsidR="0075731D" w:rsidRPr="00CD6F4A">
        <w:rPr>
          <w:szCs w:val="22"/>
        </w:rPr>
        <w:t xml:space="preserve">attributable to </w:t>
      </w:r>
      <w:r w:rsidR="009B5883" w:rsidRPr="00CD6F4A">
        <w:rPr>
          <w:szCs w:val="22"/>
        </w:rPr>
        <w:t>equity holders of the Company</w:t>
      </w:r>
      <w:r w:rsidR="00347353" w:rsidRPr="00CD6F4A">
        <w:rPr>
          <w:szCs w:val="22"/>
        </w:rPr>
        <w:t xml:space="preserve"> </w:t>
      </w:r>
      <w:r w:rsidR="00613D39" w:rsidRPr="00CD6F4A">
        <w:rPr>
          <w:szCs w:val="22"/>
        </w:rPr>
        <w:t>of RM</w:t>
      </w:r>
      <w:r w:rsidR="000811E0">
        <w:rPr>
          <w:szCs w:val="22"/>
        </w:rPr>
        <w:t>52,7</w:t>
      </w:r>
      <w:r w:rsidR="00FB222F">
        <w:rPr>
          <w:szCs w:val="22"/>
        </w:rPr>
        <w:t>81</w:t>
      </w:r>
      <w:r w:rsidR="00613D39" w:rsidRPr="00CD6F4A">
        <w:rPr>
          <w:szCs w:val="22"/>
        </w:rPr>
        <w:t xml:space="preserve">,000 </w:t>
      </w:r>
      <w:r w:rsidRPr="00CD6F4A">
        <w:rPr>
          <w:szCs w:val="22"/>
        </w:rPr>
        <w:t xml:space="preserve">by the </w:t>
      </w:r>
      <w:r w:rsidR="00D34A21" w:rsidRPr="00CD6F4A">
        <w:rPr>
          <w:szCs w:val="22"/>
        </w:rPr>
        <w:t xml:space="preserve">weighted average </w:t>
      </w:r>
      <w:r w:rsidRPr="00CD6F4A">
        <w:rPr>
          <w:szCs w:val="22"/>
        </w:rPr>
        <w:t xml:space="preserve">number of ordinary shares </w:t>
      </w:r>
      <w:r w:rsidR="005701F3" w:rsidRPr="00CD6F4A">
        <w:rPr>
          <w:szCs w:val="22"/>
        </w:rPr>
        <w:t>(after assuming conversion of ICULS into ordinary shares) outstanding dur</w:t>
      </w:r>
      <w:r w:rsidR="0075731D" w:rsidRPr="00CD6F4A">
        <w:rPr>
          <w:szCs w:val="22"/>
        </w:rPr>
        <w:t xml:space="preserve">ing </w:t>
      </w:r>
      <w:r w:rsidR="00347353" w:rsidRPr="00CD6F4A">
        <w:rPr>
          <w:szCs w:val="22"/>
        </w:rPr>
        <w:t>the current year</w:t>
      </w:r>
      <w:r w:rsidR="00230CE8" w:rsidRPr="00CD6F4A">
        <w:rPr>
          <w:szCs w:val="22"/>
        </w:rPr>
        <w:t xml:space="preserve"> </w:t>
      </w:r>
      <w:r w:rsidR="0097534E" w:rsidRPr="00CD6F4A">
        <w:rPr>
          <w:szCs w:val="22"/>
        </w:rPr>
        <w:t xml:space="preserve">to date </w:t>
      </w:r>
      <w:r w:rsidR="00A07DD6" w:rsidRPr="00CD6F4A">
        <w:rPr>
          <w:szCs w:val="22"/>
        </w:rPr>
        <w:t xml:space="preserve">of </w:t>
      </w:r>
      <w:r w:rsidR="00613D39" w:rsidRPr="00CD6F4A">
        <w:rPr>
          <w:szCs w:val="22"/>
        </w:rPr>
        <w:t>629,153,415</w:t>
      </w:r>
      <w:r w:rsidRPr="00CD6F4A">
        <w:rPr>
          <w:szCs w:val="22"/>
        </w:rPr>
        <w:t>.</w:t>
      </w:r>
    </w:p>
    <w:p w:rsidR="005D704A" w:rsidRPr="00CD6F4A" w:rsidRDefault="00CA25BF">
      <w:pPr>
        <w:pStyle w:val="BodyTextIndent3"/>
        <w:ind w:left="1440" w:hanging="720"/>
        <w:rPr>
          <w:szCs w:val="22"/>
        </w:rPr>
      </w:pPr>
      <w:r w:rsidRPr="00CD6F4A">
        <w:rPr>
          <w:szCs w:val="22"/>
        </w:rPr>
        <w:tab/>
      </w:r>
    </w:p>
    <w:p w:rsidR="005D704A" w:rsidRPr="00CD6F4A" w:rsidRDefault="005D704A" w:rsidP="005D704A">
      <w:pPr>
        <w:pStyle w:val="BodyText"/>
        <w:numPr>
          <w:ilvl w:val="0"/>
          <w:numId w:val="30"/>
        </w:numPr>
        <w:rPr>
          <w:b/>
          <w:sz w:val="22"/>
          <w:szCs w:val="22"/>
        </w:rPr>
      </w:pPr>
      <w:r w:rsidRPr="00CD6F4A">
        <w:rPr>
          <w:b/>
          <w:sz w:val="22"/>
          <w:szCs w:val="22"/>
        </w:rPr>
        <w:t xml:space="preserve">Diluted </w:t>
      </w:r>
      <w:r w:rsidR="002A6E9A" w:rsidRPr="00CD6F4A">
        <w:rPr>
          <w:b/>
          <w:sz w:val="22"/>
          <w:szCs w:val="22"/>
        </w:rPr>
        <w:t>earnings</w:t>
      </w:r>
      <w:r w:rsidRPr="00CD6F4A">
        <w:rPr>
          <w:b/>
          <w:sz w:val="22"/>
          <w:szCs w:val="22"/>
        </w:rPr>
        <w:t xml:space="preserve"> per share</w:t>
      </w:r>
    </w:p>
    <w:p w:rsidR="005D704A" w:rsidRPr="00CD6F4A" w:rsidRDefault="005D704A">
      <w:pPr>
        <w:pStyle w:val="BodyTextIndent3"/>
        <w:ind w:left="1440" w:hanging="720"/>
        <w:rPr>
          <w:szCs w:val="22"/>
        </w:rPr>
      </w:pPr>
    </w:p>
    <w:p w:rsidR="007E1AD5" w:rsidRPr="00CD6F4A" w:rsidRDefault="00CA25BF">
      <w:pPr>
        <w:pStyle w:val="BodyTextIndent3"/>
        <w:ind w:left="1440" w:hanging="720"/>
      </w:pPr>
      <w:r w:rsidRPr="00CD6F4A">
        <w:tab/>
        <w:t xml:space="preserve">Diluted </w:t>
      </w:r>
      <w:r w:rsidR="002A6E9A" w:rsidRPr="00CD6F4A">
        <w:t>earnings</w:t>
      </w:r>
      <w:r w:rsidRPr="00CD6F4A">
        <w:t xml:space="preserve"> per share is not applicable and not presented because there are no dilutive potential ordinary shares to be issued as the ICULS have been included in </w:t>
      </w:r>
      <w:r w:rsidR="002206AF" w:rsidRPr="00CD6F4A">
        <w:t xml:space="preserve">the </w:t>
      </w:r>
      <w:r w:rsidRPr="00CD6F4A">
        <w:t xml:space="preserve">basic </w:t>
      </w:r>
      <w:r w:rsidR="002A6E9A" w:rsidRPr="00CD6F4A">
        <w:t>earnings</w:t>
      </w:r>
      <w:r w:rsidRPr="00CD6F4A">
        <w:t xml:space="preserve"> per share calculation.</w:t>
      </w:r>
    </w:p>
    <w:p w:rsidR="00277072" w:rsidRPr="00CD6F4A" w:rsidRDefault="00277072">
      <w:pPr>
        <w:pStyle w:val="BodyTextIndent3"/>
        <w:ind w:left="1440" w:hanging="720"/>
      </w:pPr>
    </w:p>
    <w:p w:rsidR="00903E18" w:rsidRPr="00CD6F4A" w:rsidRDefault="00903E18">
      <w:pPr>
        <w:pStyle w:val="BodyTextIndent3"/>
        <w:ind w:left="1440" w:hanging="720"/>
      </w:pPr>
    </w:p>
    <w:p w:rsidR="00820650" w:rsidRPr="00CD6F4A" w:rsidRDefault="00820650" w:rsidP="00471B3B">
      <w:pPr>
        <w:numPr>
          <w:ilvl w:val="0"/>
          <w:numId w:val="38"/>
        </w:numPr>
        <w:tabs>
          <w:tab w:val="clear" w:pos="1080"/>
        </w:tabs>
        <w:ind w:left="720"/>
        <w:jc w:val="both"/>
        <w:rPr>
          <w:rFonts w:ascii="Arial" w:hAnsi="Arial"/>
          <w:b/>
          <w:sz w:val="22"/>
        </w:rPr>
      </w:pPr>
      <w:r w:rsidRPr="00CD6F4A">
        <w:rPr>
          <w:rFonts w:ascii="Arial" w:hAnsi="Arial"/>
          <w:b/>
          <w:sz w:val="22"/>
        </w:rPr>
        <w:t>Audit Report of the Preceding Year’s Consolidated Financial Statements</w:t>
      </w:r>
    </w:p>
    <w:p w:rsidR="00820650" w:rsidRPr="00CD6F4A" w:rsidRDefault="00820650" w:rsidP="00820650">
      <w:pPr>
        <w:pStyle w:val="BodyTextIndent"/>
        <w:ind w:left="360" w:firstLine="0"/>
        <w:rPr>
          <w:sz w:val="22"/>
        </w:rPr>
      </w:pPr>
    </w:p>
    <w:p w:rsidR="00820650" w:rsidRPr="00CD6F4A" w:rsidRDefault="00820650" w:rsidP="00820650">
      <w:pPr>
        <w:autoSpaceDE w:val="0"/>
        <w:autoSpaceDN w:val="0"/>
        <w:adjustRightInd w:val="0"/>
        <w:ind w:left="720"/>
        <w:jc w:val="both"/>
        <w:rPr>
          <w:rFonts w:ascii="Arial" w:hAnsi="Arial" w:cs="Arial"/>
        </w:rPr>
      </w:pPr>
      <w:r w:rsidRPr="00CD6F4A">
        <w:rPr>
          <w:rFonts w:ascii="Arial" w:hAnsi="Arial" w:cs="Arial"/>
          <w:sz w:val="22"/>
          <w:szCs w:val="22"/>
        </w:rPr>
        <w:t>The auditors’ report of the preceding annual financial statements was not subject to any qualification.</w:t>
      </w:r>
    </w:p>
    <w:p w:rsidR="00820650" w:rsidRPr="00CD6F4A" w:rsidRDefault="00820650" w:rsidP="00820650">
      <w:pPr>
        <w:ind w:left="720"/>
        <w:jc w:val="both"/>
        <w:rPr>
          <w:rFonts w:ascii="Arial" w:hAnsi="Arial"/>
          <w:sz w:val="22"/>
        </w:rPr>
      </w:pPr>
    </w:p>
    <w:p w:rsidR="00820650" w:rsidRPr="00CD6F4A" w:rsidRDefault="00820650" w:rsidP="00820650">
      <w:pPr>
        <w:ind w:left="720"/>
        <w:jc w:val="both"/>
        <w:rPr>
          <w:rFonts w:ascii="Arial" w:hAnsi="Arial"/>
          <w:sz w:val="22"/>
        </w:rPr>
      </w:pPr>
    </w:p>
    <w:p w:rsidR="00820650" w:rsidRPr="00CD6F4A" w:rsidRDefault="00820650">
      <w:pPr>
        <w:pStyle w:val="BodyTextIndent3"/>
        <w:ind w:left="1440" w:hanging="720"/>
      </w:pPr>
    </w:p>
    <w:p w:rsidR="002F72DF" w:rsidRPr="00CD6F4A" w:rsidRDefault="002F72DF">
      <w:pPr>
        <w:jc w:val="both"/>
        <w:rPr>
          <w:rFonts w:ascii="Arial" w:hAnsi="Arial"/>
          <w:sz w:val="22"/>
        </w:rPr>
      </w:pPr>
      <w:r w:rsidRPr="00CD6F4A">
        <w:rPr>
          <w:rFonts w:ascii="Arial" w:hAnsi="Arial"/>
          <w:sz w:val="22"/>
        </w:rPr>
        <w:t xml:space="preserve">By Order of the Board </w:t>
      </w:r>
    </w:p>
    <w:p w:rsidR="002023F4" w:rsidRPr="00D03556" w:rsidRDefault="007962F7" w:rsidP="002023F4">
      <w:pPr>
        <w:jc w:val="both"/>
        <w:rPr>
          <w:rFonts w:ascii="Arial" w:hAnsi="Arial"/>
          <w:sz w:val="22"/>
        </w:rPr>
      </w:pPr>
      <w:r w:rsidRPr="00D03556">
        <w:rPr>
          <w:rFonts w:ascii="Arial" w:hAnsi="Arial"/>
          <w:sz w:val="22"/>
        </w:rPr>
        <w:t>ZAINAL RASHID BIN AB RAHMAN (</w:t>
      </w:r>
      <w:r w:rsidR="001D60AD" w:rsidRPr="00D03556">
        <w:rPr>
          <w:rFonts w:ascii="Arial" w:hAnsi="Arial"/>
          <w:sz w:val="22"/>
        </w:rPr>
        <w:t>LS007008</w:t>
      </w:r>
      <w:r w:rsidRPr="00D03556">
        <w:rPr>
          <w:rFonts w:ascii="Arial" w:hAnsi="Arial"/>
          <w:sz w:val="22"/>
        </w:rPr>
        <w:t>)</w:t>
      </w:r>
    </w:p>
    <w:p w:rsidR="002F72DF" w:rsidRPr="00CD6F4A" w:rsidRDefault="00271EC2">
      <w:pPr>
        <w:jc w:val="both"/>
        <w:rPr>
          <w:rFonts w:ascii="Arial" w:hAnsi="Arial"/>
          <w:sz w:val="22"/>
        </w:rPr>
      </w:pPr>
      <w:r w:rsidRPr="00CD6F4A">
        <w:rPr>
          <w:rFonts w:ascii="Arial" w:hAnsi="Arial"/>
          <w:sz w:val="22"/>
        </w:rPr>
        <w:t>C</w:t>
      </w:r>
      <w:r w:rsidR="00997EA2">
        <w:rPr>
          <w:rFonts w:ascii="Arial" w:hAnsi="Arial"/>
          <w:sz w:val="22"/>
        </w:rPr>
        <w:t>ompany Secretary</w:t>
      </w:r>
    </w:p>
    <w:p w:rsidR="002F72DF" w:rsidRPr="00CD6F4A" w:rsidRDefault="002F72DF">
      <w:pPr>
        <w:jc w:val="both"/>
        <w:rPr>
          <w:rFonts w:ascii="Arial" w:hAnsi="Arial"/>
          <w:sz w:val="22"/>
        </w:rPr>
      </w:pPr>
    </w:p>
    <w:p w:rsidR="002F72DF" w:rsidRPr="00CD6F4A" w:rsidRDefault="002F72DF">
      <w:pPr>
        <w:jc w:val="both"/>
        <w:rPr>
          <w:rFonts w:ascii="Arial" w:hAnsi="Arial"/>
          <w:sz w:val="22"/>
        </w:rPr>
      </w:pPr>
      <w:smartTag w:uri="urn:schemas-microsoft-com:office:smarttags" w:element="place">
        <w:smartTag w:uri="urn:schemas-microsoft-com:office:smarttags" w:element="City">
          <w:r w:rsidRPr="00CD6F4A">
            <w:rPr>
              <w:rFonts w:ascii="Arial" w:hAnsi="Arial"/>
              <w:sz w:val="22"/>
            </w:rPr>
            <w:t>Kuala Lumpur</w:t>
          </w:r>
        </w:smartTag>
      </w:smartTag>
    </w:p>
    <w:p w:rsidR="00625AAA" w:rsidRPr="00625AAA" w:rsidRDefault="00F4541A">
      <w:pPr>
        <w:jc w:val="both"/>
        <w:rPr>
          <w:rFonts w:ascii="Arial" w:hAnsi="Arial"/>
          <w:sz w:val="22"/>
        </w:rPr>
      </w:pPr>
      <w:r>
        <w:rPr>
          <w:rFonts w:ascii="Arial" w:hAnsi="Arial"/>
          <w:sz w:val="22"/>
        </w:rPr>
        <w:t>18 August</w:t>
      </w:r>
      <w:r w:rsidR="00A86C1F" w:rsidRPr="00CD6F4A">
        <w:rPr>
          <w:rFonts w:ascii="Arial" w:hAnsi="Arial"/>
          <w:sz w:val="22"/>
        </w:rPr>
        <w:t xml:space="preserve"> 2010</w:t>
      </w:r>
    </w:p>
    <w:sectPr w:rsidR="00625AAA" w:rsidRPr="00625AAA" w:rsidSect="009A24EC">
      <w:headerReference w:type="default" r:id="rId7"/>
      <w:footerReference w:type="even" r:id="rId8"/>
      <w:footerReference w:type="default" r:id="rId9"/>
      <w:headerReference w:type="first" r:id="rId10"/>
      <w:footerReference w:type="first" r:id="rId11"/>
      <w:pgSz w:w="11909" w:h="16834" w:code="9"/>
      <w:pgMar w:top="806" w:right="1022" w:bottom="936" w:left="144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57F" w:rsidRDefault="0074057F">
      <w:r>
        <w:separator/>
      </w:r>
    </w:p>
  </w:endnote>
  <w:endnote w:type="continuationSeparator" w:id="0">
    <w:p w:rsidR="0074057F" w:rsidRDefault="007405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Omega">
    <w:charset w:val="00"/>
    <w:family w:val="swiss"/>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2E7" w:rsidRDefault="00D92EAD">
    <w:pPr>
      <w:pStyle w:val="Footer"/>
      <w:framePr w:wrap="around" w:vAnchor="text" w:hAnchor="margin" w:xAlign="right" w:y="1"/>
      <w:rPr>
        <w:rStyle w:val="PageNumber"/>
      </w:rPr>
    </w:pPr>
    <w:r>
      <w:rPr>
        <w:rStyle w:val="PageNumber"/>
      </w:rPr>
      <w:fldChar w:fldCharType="begin"/>
    </w:r>
    <w:r w:rsidR="00F072E7">
      <w:rPr>
        <w:rStyle w:val="PageNumber"/>
      </w:rPr>
      <w:instrText xml:space="preserve">PAGE  </w:instrText>
    </w:r>
    <w:r>
      <w:rPr>
        <w:rStyle w:val="PageNumber"/>
      </w:rPr>
      <w:fldChar w:fldCharType="end"/>
    </w:r>
  </w:p>
  <w:p w:rsidR="00F072E7" w:rsidRDefault="00F072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2E7" w:rsidRPr="00454DAA" w:rsidRDefault="00D92EAD">
    <w:pPr>
      <w:pStyle w:val="Footer"/>
      <w:jc w:val="right"/>
      <w:rPr>
        <w:rFonts w:ascii="Arial" w:hAnsi="Arial" w:cs="Arial"/>
      </w:rPr>
    </w:pPr>
    <w:r w:rsidRPr="00454DAA">
      <w:rPr>
        <w:rStyle w:val="PageNumber"/>
        <w:rFonts w:ascii="Arial" w:hAnsi="Arial" w:cs="Arial"/>
      </w:rPr>
      <w:fldChar w:fldCharType="begin"/>
    </w:r>
    <w:r w:rsidR="00F072E7" w:rsidRPr="00454DAA">
      <w:rPr>
        <w:rStyle w:val="PageNumber"/>
        <w:rFonts w:ascii="Arial" w:hAnsi="Arial" w:cs="Arial"/>
      </w:rPr>
      <w:instrText xml:space="preserve"> PAGE </w:instrText>
    </w:r>
    <w:r w:rsidRPr="00454DAA">
      <w:rPr>
        <w:rStyle w:val="PageNumber"/>
        <w:rFonts w:ascii="Arial" w:hAnsi="Arial" w:cs="Arial"/>
      </w:rPr>
      <w:fldChar w:fldCharType="separate"/>
    </w:r>
    <w:r w:rsidR="00CD385D">
      <w:rPr>
        <w:rStyle w:val="PageNumber"/>
        <w:rFonts w:ascii="Arial" w:hAnsi="Arial" w:cs="Arial"/>
        <w:noProof/>
      </w:rPr>
      <w:t>10</w:t>
    </w:r>
    <w:r w:rsidRPr="00454DAA">
      <w:rPr>
        <w:rStyle w:val="PageNumber"/>
        <w:rFonts w:ascii="Arial" w:hAnsi="Arial"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2E7" w:rsidRDefault="00F072E7">
    <w:pPr>
      <w:pStyle w:val="Footer"/>
    </w:pPr>
    <w:r>
      <w:rPr>
        <w:snapToGrid w:val="0"/>
      </w:rPr>
      <w:tab/>
      <w:t>- 1 -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57F" w:rsidRDefault="0074057F">
      <w:r>
        <w:separator/>
      </w:r>
    </w:p>
  </w:footnote>
  <w:footnote w:type="continuationSeparator" w:id="0">
    <w:p w:rsidR="0074057F" w:rsidRDefault="007405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2E7" w:rsidRDefault="0027089A">
    <w:pPr>
      <w:pStyle w:val="Header"/>
      <w:rPr>
        <w:sz w:val="24"/>
      </w:rPr>
    </w:pPr>
    <w:r>
      <w:rPr>
        <w:rFonts w:ascii="Bookman Old Style" w:hAnsi="Bookman Old Style"/>
        <w:b/>
        <w:noProof/>
        <w:sz w:val="28"/>
      </w:rPr>
      <w:drawing>
        <wp:inline distT="0" distB="0" distL="0" distR="0">
          <wp:extent cx="1228725" cy="1066800"/>
          <wp:effectExtent l="19050" t="0" r="9525" b="0"/>
          <wp:docPr id="1" name="Picture 1" descr="logo-T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B"/>
                  <pic:cNvPicPr>
                    <a:picLocks noChangeAspect="1" noChangeArrowheads="1"/>
                  </pic:cNvPicPr>
                </pic:nvPicPr>
                <pic:blipFill>
                  <a:blip r:embed="rId1"/>
                  <a:srcRect/>
                  <a:stretch>
                    <a:fillRect/>
                  </a:stretch>
                </pic:blipFill>
                <pic:spPr bwMode="auto">
                  <a:xfrm>
                    <a:off x="0" y="0"/>
                    <a:ext cx="1228725" cy="1066800"/>
                  </a:xfrm>
                  <a:prstGeom prst="rect">
                    <a:avLst/>
                  </a:prstGeom>
                  <a:noFill/>
                  <a:ln w="9525">
                    <a:noFill/>
                    <a:miter lim="800000"/>
                    <a:headEnd/>
                    <a:tailEnd/>
                  </a:ln>
                </pic:spPr>
              </pic:pic>
            </a:graphicData>
          </a:graphic>
        </wp:inline>
      </w:drawing>
    </w:r>
    <w:r w:rsidR="00F072E7">
      <w:rPr>
        <w:rFonts w:ascii="Bookman Old Style" w:hAnsi="Bookman Old Style"/>
        <w:b/>
        <w:sz w:val="2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2E7" w:rsidRDefault="00F072E7">
    <w:pPr>
      <w:pStyle w:val="Header"/>
    </w:pPr>
  </w:p>
  <w:p w:rsidR="00F072E7" w:rsidRDefault="00F072E7">
    <w:pPr>
      <w:pStyle w:val="Header"/>
      <w:rPr>
        <w:rFonts w:ascii="Arial" w:hAnsi="Arial"/>
        <w:b/>
        <w:sz w:val="40"/>
      </w:rPr>
    </w:pPr>
    <w:r>
      <w:rPr>
        <w:rFonts w:ascii="Arial" w:hAnsi="Arial"/>
        <w:b/>
        <w:sz w:val="40"/>
      </w:rPr>
      <w:tab/>
      <w:t xml:space="preserve">JOHORE TENGGARA OIL </w:t>
    </w:r>
    <w:proofErr w:type="gramStart"/>
    <w:r>
      <w:rPr>
        <w:rFonts w:ascii="Arial" w:hAnsi="Arial"/>
        <w:b/>
        <w:sz w:val="40"/>
      </w:rPr>
      <w:t>PALM  BERHAD</w:t>
    </w:r>
    <w:proofErr w:type="gramEnd"/>
  </w:p>
  <w:p w:rsidR="00F072E7" w:rsidRDefault="00F072E7">
    <w:pPr>
      <w:pStyle w:val="Header"/>
      <w:rPr>
        <w:sz w:val="24"/>
      </w:rPr>
    </w:pPr>
    <w:r>
      <w:rPr>
        <w:sz w:val="28"/>
      </w:rPr>
      <w:t xml:space="preserve">     </w:t>
    </w:r>
    <w:r>
      <w:rPr>
        <w:sz w:val="28"/>
      </w:rPr>
      <w:tab/>
      <w:t xml:space="preserve">(Incorporated in </w:t>
    </w:r>
    <w:smartTag w:uri="urn:schemas-microsoft-com:office:smarttags" w:element="place">
      <w:smartTag w:uri="urn:schemas-microsoft-com:office:smarttags" w:element="country-region">
        <w:r>
          <w:rPr>
            <w:sz w:val="28"/>
          </w:rPr>
          <w:t>Malaysia</w:t>
        </w:r>
      </w:smartTag>
    </w:smartTag>
    <w:r>
      <w:rPr>
        <w:sz w:val="28"/>
      </w:rPr>
      <w:t>)</w:t>
    </w:r>
    <w:r>
      <w:tab/>
    </w:r>
    <w:smartTag w:uri="urn:schemas-microsoft-com:office:smarttags" w:element="place">
      <w:r>
        <w:rPr>
          <w:sz w:val="24"/>
        </w:rPr>
        <w:t>Co.</w:t>
      </w:r>
    </w:smartTag>
    <w:r>
      <w:rPr>
        <w:sz w:val="24"/>
      </w:rPr>
      <w:t xml:space="preserve"> No. </w:t>
    </w:r>
    <w:proofErr w:type="gramStart"/>
    <w:r>
      <w:rPr>
        <w:sz w:val="24"/>
      </w:rPr>
      <w:t>:17867</w:t>
    </w:r>
    <w:proofErr w:type="gramEnd"/>
    <w:r>
      <w:rPr>
        <w:sz w:val="24"/>
      </w:rPr>
      <w:t>-T</w:t>
    </w:r>
  </w:p>
  <w:p w:rsidR="00F072E7" w:rsidRDefault="00F072E7">
    <w:pPr>
      <w:pStyle w:val="Header"/>
    </w:pPr>
  </w:p>
  <w:p w:rsidR="00F072E7" w:rsidRDefault="00F072E7">
    <w:pPr>
      <w:pStyle w:val="Header"/>
    </w:pPr>
  </w:p>
  <w:p w:rsidR="00F072E7" w:rsidRDefault="00D92EAD">
    <w:pPr>
      <w:pStyle w:val="Header"/>
    </w:pPr>
    <w:r w:rsidRPr="00D92EAD">
      <w:rPr>
        <w:rFonts w:ascii="Bookman Old Style" w:hAnsi="Bookman Old Style"/>
        <w:b/>
        <w:noProof/>
        <w:sz w:val="24"/>
      </w:rPr>
      <w:pict>
        <v:line id="_x0000_s2052" style="position:absolute;z-index:251657728" from="7.2pt,5.45pt" to="460.8pt,5.45pt" o:allowincell="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25DB"/>
    <w:multiLevelType w:val="multilevel"/>
    <w:tmpl w:val="1478C46E"/>
    <w:lvl w:ilvl="0">
      <w:start w:val="1"/>
      <w:numFmt w:val="decimal"/>
      <w:lvlText w:val="%1."/>
      <w:lvlJc w:val="left"/>
      <w:pPr>
        <w:tabs>
          <w:tab w:val="num" w:pos="1440"/>
        </w:tabs>
        <w:ind w:left="1440" w:hanging="14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7449F0"/>
    <w:multiLevelType w:val="multilevel"/>
    <w:tmpl w:val="4B289FE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844CF5"/>
    <w:multiLevelType w:val="hybridMultilevel"/>
    <w:tmpl w:val="B42EFBAA"/>
    <w:lvl w:ilvl="0" w:tplc="D952C8B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7366A"/>
    <w:multiLevelType w:val="multilevel"/>
    <w:tmpl w:val="5F56D03C"/>
    <w:lvl w:ilvl="0">
      <w:start w:val="7"/>
      <w:numFmt w:val="lowerLetter"/>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072163A"/>
    <w:multiLevelType w:val="singleLevel"/>
    <w:tmpl w:val="A2A87818"/>
    <w:lvl w:ilvl="0">
      <w:start w:val="5"/>
      <w:numFmt w:val="decimal"/>
      <w:lvlText w:val="%1."/>
      <w:lvlJc w:val="left"/>
      <w:pPr>
        <w:tabs>
          <w:tab w:val="num" w:pos="720"/>
        </w:tabs>
        <w:ind w:left="720" w:hanging="720"/>
      </w:pPr>
      <w:rPr>
        <w:rFonts w:hint="default"/>
      </w:rPr>
    </w:lvl>
  </w:abstractNum>
  <w:abstractNum w:abstractNumId="5">
    <w:nsid w:val="158A0E1E"/>
    <w:multiLevelType w:val="hybridMultilevel"/>
    <w:tmpl w:val="550E9526"/>
    <w:lvl w:ilvl="0" w:tplc="D99A7442">
      <w:start w:val="1"/>
      <w:numFmt w:val="decimal"/>
      <w:lvlText w:val="%1."/>
      <w:lvlJc w:val="left"/>
      <w:pPr>
        <w:tabs>
          <w:tab w:val="num" w:pos="960"/>
        </w:tabs>
        <w:ind w:left="960" w:hanging="600"/>
      </w:pPr>
      <w:rPr>
        <w:rFonts w:hint="default"/>
      </w:rPr>
    </w:lvl>
    <w:lvl w:ilvl="1" w:tplc="A50A09DC">
      <w:start w:val="1"/>
      <w:numFmt w:val="lowerLetter"/>
      <w:lvlText w:val="(%2)"/>
      <w:lvlJc w:val="left"/>
      <w:pPr>
        <w:tabs>
          <w:tab w:val="num" w:pos="1800"/>
        </w:tabs>
        <w:ind w:left="1800" w:hanging="720"/>
      </w:pPr>
      <w:rPr>
        <w:rFonts w:cs="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6D10603"/>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173215FF"/>
    <w:multiLevelType w:val="singleLevel"/>
    <w:tmpl w:val="0409000F"/>
    <w:lvl w:ilvl="0">
      <w:start w:val="2"/>
      <w:numFmt w:val="decimal"/>
      <w:lvlText w:val="%1."/>
      <w:lvlJc w:val="left"/>
      <w:pPr>
        <w:tabs>
          <w:tab w:val="num" w:pos="360"/>
        </w:tabs>
        <w:ind w:left="360" w:hanging="360"/>
      </w:pPr>
      <w:rPr>
        <w:rFonts w:hint="default"/>
      </w:rPr>
    </w:lvl>
  </w:abstractNum>
  <w:abstractNum w:abstractNumId="8">
    <w:nsid w:val="1BF82403"/>
    <w:multiLevelType w:val="hybridMultilevel"/>
    <w:tmpl w:val="630A071A"/>
    <w:lvl w:ilvl="0" w:tplc="1916CF04">
      <w:start w:val="1"/>
      <w:numFmt w:val="lowerRoman"/>
      <w:lvlText w:val="(%1)"/>
      <w:lvlJc w:val="left"/>
      <w:pPr>
        <w:tabs>
          <w:tab w:val="num" w:pos="1440"/>
        </w:tabs>
        <w:ind w:left="1440" w:hanging="720"/>
      </w:pPr>
      <w:rPr>
        <w:rFonts w:hint="default"/>
      </w:rPr>
    </w:lvl>
    <w:lvl w:ilvl="1" w:tplc="63BA5992" w:tentative="1">
      <w:start w:val="1"/>
      <w:numFmt w:val="lowerLetter"/>
      <w:lvlText w:val="%2."/>
      <w:lvlJc w:val="left"/>
      <w:pPr>
        <w:tabs>
          <w:tab w:val="num" w:pos="1440"/>
        </w:tabs>
        <w:ind w:left="1440" w:hanging="360"/>
      </w:pPr>
    </w:lvl>
    <w:lvl w:ilvl="2" w:tplc="ABAC788A" w:tentative="1">
      <w:start w:val="1"/>
      <w:numFmt w:val="lowerRoman"/>
      <w:lvlText w:val="%3."/>
      <w:lvlJc w:val="right"/>
      <w:pPr>
        <w:tabs>
          <w:tab w:val="num" w:pos="2160"/>
        </w:tabs>
        <w:ind w:left="2160" w:hanging="180"/>
      </w:pPr>
    </w:lvl>
    <w:lvl w:ilvl="3" w:tplc="E404FAB0" w:tentative="1">
      <w:start w:val="1"/>
      <w:numFmt w:val="decimal"/>
      <w:lvlText w:val="%4."/>
      <w:lvlJc w:val="left"/>
      <w:pPr>
        <w:tabs>
          <w:tab w:val="num" w:pos="2880"/>
        </w:tabs>
        <w:ind w:left="2880" w:hanging="360"/>
      </w:pPr>
    </w:lvl>
    <w:lvl w:ilvl="4" w:tplc="FA3EDC96" w:tentative="1">
      <w:start w:val="1"/>
      <w:numFmt w:val="lowerLetter"/>
      <w:lvlText w:val="%5."/>
      <w:lvlJc w:val="left"/>
      <w:pPr>
        <w:tabs>
          <w:tab w:val="num" w:pos="3600"/>
        </w:tabs>
        <w:ind w:left="3600" w:hanging="360"/>
      </w:pPr>
    </w:lvl>
    <w:lvl w:ilvl="5" w:tplc="FB326098" w:tentative="1">
      <w:start w:val="1"/>
      <w:numFmt w:val="lowerRoman"/>
      <w:lvlText w:val="%6."/>
      <w:lvlJc w:val="right"/>
      <w:pPr>
        <w:tabs>
          <w:tab w:val="num" w:pos="4320"/>
        </w:tabs>
        <w:ind w:left="4320" w:hanging="180"/>
      </w:pPr>
    </w:lvl>
    <w:lvl w:ilvl="6" w:tplc="144AB440" w:tentative="1">
      <w:start w:val="1"/>
      <w:numFmt w:val="decimal"/>
      <w:lvlText w:val="%7."/>
      <w:lvlJc w:val="left"/>
      <w:pPr>
        <w:tabs>
          <w:tab w:val="num" w:pos="5040"/>
        </w:tabs>
        <w:ind w:left="5040" w:hanging="360"/>
      </w:pPr>
    </w:lvl>
    <w:lvl w:ilvl="7" w:tplc="68503D08" w:tentative="1">
      <w:start w:val="1"/>
      <w:numFmt w:val="lowerLetter"/>
      <w:lvlText w:val="%8."/>
      <w:lvlJc w:val="left"/>
      <w:pPr>
        <w:tabs>
          <w:tab w:val="num" w:pos="5760"/>
        </w:tabs>
        <w:ind w:left="5760" w:hanging="360"/>
      </w:pPr>
    </w:lvl>
    <w:lvl w:ilvl="8" w:tplc="B8AC3498" w:tentative="1">
      <w:start w:val="1"/>
      <w:numFmt w:val="lowerRoman"/>
      <w:lvlText w:val="%9."/>
      <w:lvlJc w:val="right"/>
      <w:pPr>
        <w:tabs>
          <w:tab w:val="num" w:pos="6480"/>
        </w:tabs>
        <w:ind w:left="6480" w:hanging="180"/>
      </w:pPr>
    </w:lvl>
  </w:abstractNum>
  <w:abstractNum w:abstractNumId="9">
    <w:nsid w:val="1D3362D5"/>
    <w:multiLevelType w:val="hybridMultilevel"/>
    <w:tmpl w:val="3E2EF95A"/>
    <w:lvl w:ilvl="0" w:tplc="D200F422">
      <w:start w:val="2"/>
      <w:numFmt w:val="lowerRoman"/>
      <w:lvlText w:val="%1)"/>
      <w:lvlJc w:val="left"/>
      <w:pPr>
        <w:tabs>
          <w:tab w:val="num" w:pos="1800"/>
        </w:tabs>
        <w:ind w:left="1800" w:hanging="720"/>
      </w:pPr>
      <w:rPr>
        <w:rFonts w:hint="default"/>
      </w:rPr>
    </w:lvl>
    <w:lvl w:ilvl="1" w:tplc="785250F6" w:tentative="1">
      <w:start w:val="1"/>
      <w:numFmt w:val="lowerLetter"/>
      <w:lvlText w:val="%2."/>
      <w:lvlJc w:val="left"/>
      <w:pPr>
        <w:tabs>
          <w:tab w:val="num" w:pos="2160"/>
        </w:tabs>
        <w:ind w:left="2160" w:hanging="360"/>
      </w:pPr>
    </w:lvl>
    <w:lvl w:ilvl="2" w:tplc="7BA83734" w:tentative="1">
      <w:start w:val="1"/>
      <w:numFmt w:val="lowerRoman"/>
      <w:lvlText w:val="%3."/>
      <w:lvlJc w:val="right"/>
      <w:pPr>
        <w:tabs>
          <w:tab w:val="num" w:pos="2880"/>
        </w:tabs>
        <w:ind w:left="2880" w:hanging="180"/>
      </w:pPr>
    </w:lvl>
    <w:lvl w:ilvl="3" w:tplc="2B76B974" w:tentative="1">
      <w:start w:val="1"/>
      <w:numFmt w:val="decimal"/>
      <w:lvlText w:val="%4."/>
      <w:lvlJc w:val="left"/>
      <w:pPr>
        <w:tabs>
          <w:tab w:val="num" w:pos="3600"/>
        </w:tabs>
        <w:ind w:left="3600" w:hanging="360"/>
      </w:pPr>
    </w:lvl>
    <w:lvl w:ilvl="4" w:tplc="114CF9F2" w:tentative="1">
      <w:start w:val="1"/>
      <w:numFmt w:val="lowerLetter"/>
      <w:lvlText w:val="%5."/>
      <w:lvlJc w:val="left"/>
      <w:pPr>
        <w:tabs>
          <w:tab w:val="num" w:pos="4320"/>
        </w:tabs>
        <w:ind w:left="4320" w:hanging="360"/>
      </w:pPr>
    </w:lvl>
    <w:lvl w:ilvl="5" w:tplc="70AAB5B4" w:tentative="1">
      <w:start w:val="1"/>
      <w:numFmt w:val="lowerRoman"/>
      <w:lvlText w:val="%6."/>
      <w:lvlJc w:val="right"/>
      <w:pPr>
        <w:tabs>
          <w:tab w:val="num" w:pos="5040"/>
        </w:tabs>
        <w:ind w:left="5040" w:hanging="180"/>
      </w:pPr>
    </w:lvl>
    <w:lvl w:ilvl="6" w:tplc="36B07132" w:tentative="1">
      <w:start w:val="1"/>
      <w:numFmt w:val="decimal"/>
      <w:lvlText w:val="%7."/>
      <w:lvlJc w:val="left"/>
      <w:pPr>
        <w:tabs>
          <w:tab w:val="num" w:pos="5760"/>
        </w:tabs>
        <w:ind w:left="5760" w:hanging="360"/>
      </w:pPr>
    </w:lvl>
    <w:lvl w:ilvl="7" w:tplc="FE2EF2A8" w:tentative="1">
      <w:start w:val="1"/>
      <w:numFmt w:val="lowerLetter"/>
      <w:lvlText w:val="%8."/>
      <w:lvlJc w:val="left"/>
      <w:pPr>
        <w:tabs>
          <w:tab w:val="num" w:pos="6480"/>
        </w:tabs>
        <w:ind w:left="6480" w:hanging="360"/>
      </w:pPr>
    </w:lvl>
    <w:lvl w:ilvl="8" w:tplc="A32A1BE0" w:tentative="1">
      <w:start w:val="1"/>
      <w:numFmt w:val="lowerRoman"/>
      <w:lvlText w:val="%9."/>
      <w:lvlJc w:val="right"/>
      <w:pPr>
        <w:tabs>
          <w:tab w:val="num" w:pos="7200"/>
        </w:tabs>
        <w:ind w:left="7200" w:hanging="180"/>
      </w:pPr>
    </w:lvl>
  </w:abstractNum>
  <w:abstractNum w:abstractNumId="10">
    <w:nsid w:val="21B97B2F"/>
    <w:multiLevelType w:val="multilevel"/>
    <w:tmpl w:val="340042DC"/>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26A7F6B"/>
    <w:multiLevelType w:val="multilevel"/>
    <w:tmpl w:val="DE9498F8"/>
    <w:lvl w:ilvl="0">
      <w:start w:val="1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4785B6D"/>
    <w:multiLevelType w:val="hybridMultilevel"/>
    <w:tmpl w:val="D5B41AA2"/>
    <w:lvl w:ilvl="0" w:tplc="FFFFFFFF">
      <w:start w:val="1"/>
      <w:numFmt w:val="decimal"/>
      <w:lvlText w:val="%1."/>
      <w:lvlJc w:val="left"/>
      <w:pPr>
        <w:tabs>
          <w:tab w:val="num" w:pos="1080"/>
        </w:tabs>
        <w:ind w:left="1080" w:hanging="720"/>
      </w:pPr>
      <w:rPr>
        <w:rFonts w:hint="default"/>
      </w:rPr>
    </w:lvl>
    <w:lvl w:ilvl="1" w:tplc="1D8851B6">
      <w:start w:val="1"/>
      <w:numFmt w:val="lowerRoman"/>
      <w:lvlText w:val="(%2)"/>
      <w:lvlJc w:val="left"/>
      <w:pPr>
        <w:tabs>
          <w:tab w:val="num" w:pos="1440"/>
        </w:tabs>
        <w:ind w:left="144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488288E"/>
    <w:multiLevelType w:val="multilevel"/>
    <w:tmpl w:val="F51CD156"/>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4B86A9D"/>
    <w:multiLevelType w:val="hybridMultilevel"/>
    <w:tmpl w:val="D1646C34"/>
    <w:lvl w:ilvl="0" w:tplc="51C09972">
      <w:start w:val="1"/>
      <w:numFmt w:val="decimal"/>
      <w:lvlText w:val="%1."/>
      <w:lvlJc w:val="left"/>
      <w:pPr>
        <w:tabs>
          <w:tab w:val="num" w:pos="960"/>
        </w:tabs>
        <w:ind w:left="960" w:hanging="600"/>
      </w:pPr>
      <w:rPr>
        <w:rFonts w:hint="default"/>
      </w:rPr>
    </w:lvl>
    <w:lvl w:ilvl="1" w:tplc="A50A09DC">
      <w:start w:val="1"/>
      <w:numFmt w:val="lowerLetter"/>
      <w:lvlText w:val="(%2)"/>
      <w:lvlJc w:val="left"/>
      <w:pPr>
        <w:tabs>
          <w:tab w:val="num" w:pos="1800"/>
        </w:tabs>
        <w:ind w:left="1800" w:hanging="720"/>
      </w:pPr>
      <w:rPr>
        <w:rFonts w:cs="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5AC6BEA"/>
    <w:multiLevelType w:val="hybridMultilevel"/>
    <w:tmpl w:val="98DCA98A"/>
    <w:lvl w:ilvl="0" w:tplc="A50A09DC">
      <w:start w:val="1"/>
      <w:numFmt w:val="lowerLetter"/>
      <w:lvlText w:val="(%1)"/>
      <w:lvlJc w:val="left"/>
      <w:pPr>
        <w:tabs>
          <w:tab w:val="num" w:pos="1764"/>
        </w:tabs>
        <w:ind w:left="1764"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77384E"/>
    <w:multiLevelType w:val="hybridMultilevel"/>
    <w:tmpl w:val="6AFE040C"/>
    <w:lvl w:ilvl="0" w:tplc="FC0E3576">
      <w:start w:val="1"/>
      <w:numFmt w:val="lowerLetter"/>
      <w:lvlText w:val="(%1)"/>
      <w:lvlJc w:val="left"/>
      <w:pPr>
        <w:tabs>
          <w:tab w:val="num" w:pos="1440"/>
        </w:tabs>
        <w:ind w:left="1440" w:hanging="720"/>
      </w:pPr>
      <w:rPr>
        <w:rFonts w:hint="default"/>
      </w:rPr>
    </w:lvl>
    <w:lvl w:ilvl="1" w:tplc="52BC646A" w:tentative="1">
      <w:start w:val="1"/>
      <w:numFmt w:val="lowerLetter"/>
      <w:lvlText w:val="%2."/>
      <w:lvlJc w:val="left"/>
      <w:pPr>
        <w:tabs>
          <w:tab w:val="num" w:pos="1440"/>
        </w:tabs>
        <w:ind w:left="1440" w:hanging="360"/>
      </w:pPr>
    </w:lvl>
    <w:lvl w:ilvl="2" w:tplc="B19E6DCC" w:tentative="1">
      <w:start w:val="1"/>
      <w:numFmt w:val="lowerRoman"/>
      <w:lvlText w:val="%3."/>
      <w:lvlJc w:val="right"/>
      <w:pPr>
        <w:tabs>
          <w:tab w:val="num" w:pos="2160"/>
        </w:tabs>
        <w:ind w:left="2160" w:hanging="180"/>
      </w:pPr>
    </w:lvl>
    <w:lvl w:ilvl="3" w:tplc="9C12E1B2" w:tentative="1">
      <w:start w:val="1"/>
      <w:numFmt w:val="decimal"/>
      <w:lvlText w:val="%4."/>
      <w:lvlJc w:val="left"/>
      <w:pPr>
        <w:tabs>
          <w:tab w:val="num" w:pos="2880"/>
        </w:tabs>
        <w:ind w:left="2880" w:hanging="360"/>
      </w:pPr>
    </w:lvl>
    <w:lvl w:ilvl="4" w:tplc="FE2C908A" w:tentative="1">
      <w:start w:val="1"/>
      <w:numFmt w:val="lowerLetter"/>
      <w:lvlText w:val="%5."/>
      <w:lvlJc w:val="left"/>
      <w:pPr>
        <w:tabs>
          <w:tab w:val="num" w:pos="3600"/>
        </w:tabs>
        <w:ind w:left="3600" w:hanging="360"/>
      </w:pPr>
    </w:lvl>
    <w:lvl w:ilvl="5" w:tplc="65084CA4" w:tentative="1">
      <w:start w:val="1"/>
      <w:numFmt w:val="lowerRoman"/>
      <w:lvlText w:val="%6."/>
      <w:lvlJc w:val="right"/>
      <w:pPr>
        <w:tabs>
          <w:tab w:val="num" w:pos="4320"/>
        </w:tabs>
        <w:ind w:left="4320" w:hanging="180"/>
      </w:pPr>
    </w:lvl>
    <w:lvl w:ilvl="6" w:tplc="9816EE1E" w:tentative="1">
      <w:start w:val="1"/>
      <w:numFmt w:val="decimal"/>
      <w:lvlText w:val="%7."/>
      <w:lvlJc w:val="left"/>
      <w:pPr>
        <w:tabs>
          <w:tab w:val="num" w:pos="5040"/>
        </w:tabs>
        <w:ind w:left="5040" w:hanging="360"/>
      </w:pPr>
    </w:lvl>
    <w:lvl w:ilvl="7" w:tplc="B6AC761A" w:tentative="1">
      <w:start w:val="1"/>
      <w:numFmt w:val="lowerLetter"/>
      <w:lvlText w:val="%8."/>
      <w:lvlJc w:val="left"/>
      <w:pPr>
        <w:tabs>
          <w:tab w:val="num" w:pos="5760"/>
        </w:tabs>
        <w:ind w:left="5760" w:hanging="360"/>
      </w:pPr>
    </w:lvl>
    <w:lvl w:ilvl="8" w:tplc="6990185E" w:tentative="1">
      <w:start w:val="1"/>
      <w:numFmt w:val="lowerRoman"/>
      <w:lvlText w:val="%9."/>
      <w:lvlJc w:val="right"/>
      <w:pPr>
        <w:tabs>
          <w:tab w:val="num" w:pos="6480"/>
        </w:tabs>
        <w:ind w:left="6480" w:hanging="180"/>
      </w:pPr>
    </w:lvl>
  </w:abstractNum>
  <w:abstractNum w:abstractNumId="17">
    <w:nsid w:val="2C6A2AA2"/>
    <w:multiLevelType w:val="hybridMultilevel"/>
    <w:tmpl w:val="67907FC4"/>
    <w:lvl w:ilvl="0" w:tplc="FFFFFFFF">
      <w:start w:val="1"/>
      <w:numFmt w:val="lowerRoman"/>
      <w:lvlText w:val="(%1)"/>
      <w:lvlJc w:val="left"/>
      <w:pPr>
        <w:tabs>
          <w:tab w:val="num" w:pos="2880"/>
        </w:tabs>
        <w:ind w:left="2880" w:hanging="720"/>
      </w:pPr>
      <w:rPr>
        <w:rFonts w:hint="default"/>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8">
    <w:nsid w:val="302F3DCB"/>
    <w:multiLevelType w:val="singleLevel"/>
    <w:tmpl w:val="C1127D82"/>
    <w:lvl w:ilvl="0">
      <w:start w:val="3"/>
      <w:numFmt w:val="lowerLetter"/>
      <w:lvlText w:val="(%1)"/>
      <w:lvlJc w:val="left"/>
      <w:pPr>
        <w:tabs>
          <w:tab w:val="num" w:pos="1440"/>
        </w:tabs>
        <w:ind w:left="1440" w:hanging="720"/>
      </w:pPr>
      <w:rPr>
        <w:rFonts w:hint="default"/>
      </w:rPr>
    </w:lvl>
  </w:abstractNum>
  <w:abstractNum w:abstractNumId="19">
    <w:nsid w:val="318A34A7"/>
    <w:multiLevelType w:val="multilevel"/>
    <w:tmpl w:val="CD5274A0"/>
    <w:lvl w:ilvl="0">
      <w:start w:val="1"/>
      <w:numFmt w:val="lowerLetter"/>
      <w:lvlText w:val="(%1)"/>
      <w:lvlJc w:val="left"/>
      <w:pPr>
        <w:tabs>
          <w:tab w:val="num" w:pos="1764"/>
        </w:tabs>
        <w:ind w:left="1764" w:hanging="360"/>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42A6234"/>
    <w:multiLevelType w:val="multilevel"/>
    <w:tmpl w:val="6F3492EA"/>
    <w:lvl w:ilvl="0">
      <w:start w:val="1"/>
      <w:numFmt w:val="decimal"/>
      <w:lvlText w:val="%1.0"/>
      <w:lvlJc w:val="left"/>
      <w:pPr>
        <w:tabs>
          <w:tab w:val="num" w:pos="1080"/>
        </w:tabs>
        <w:ind w:left="1080" w:hanging="1080"/>
      </w:pPr>
      <w:rPr>
        <w:rFonts w:hint="default"/>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355369BC"/>
    <w:multiLevelType w:val="hybridMultilevel"/>
    <w:tmpl w:val="88721C7C"/>
    <w:lvl w:ilvl="0" w:tplc="D422A07E">
      <w:start w:val="5"/>
      <w:numFmt w:val="decimal"/>
      <w:lvlText w:val="%1."/>
      <w:lvlJc w:val="left"/>
      <w:pPr>
        <w:tabs>
          <w:tab w:val="num" w:pos="720"/>
        </w:tabs>
        <w:ind w:left="720" w:hanging="360"/>
      </w:pPr>
      <w:rPr>
        <w:rFonts w:hint="default"/>
      </w:rPr>
    </w:lvl>
    <w:lvl w:ilvl="1" w:tplc="9030F3AC" w:tentative="1">
      <w:start w:val="1"/>
      <w:numFmt w:val="lowerLetter"/>
      <w:lvlText w:val="%2."/>
      <w:lvlJc w:val="left"/>
      <w:pPr>
        <w:tabs>
          <w:tab w:val="num" w:pos="1440"/>
        </w:tabs>
        <w:ind w:left="1440" w:hanging="360"/>
      </w:pPr>
    </w:lvl>
    <w:lvl w:ilvl="2" w:tplc="D2326184" w:tentative="1">
      <w:start w:val="1"/>
      <w:numFmt w:val="lowerRoman"/>
      <w:lvlText w:val="%3."/>
      <w:lvlJc w:val="right"/>
      <w:pPr>
        <w:tabs>
          <w:tab w:val="num" w:pos="2160"/>
        </w:tabs>
        <w:ind w:left="2160" w:hanging="180"/>
      </w:pPr>
    </w:lvl>
    <w:lvl w:ilvl="3" w:tplc="8C8438DC" w:tentative="1">
      <w:start w:val="1"/>
      <w:numFmt w:val="decimal"/>
      <w:lvlText w:val="%4."/>
      <w:lvlJc w:val="left"/>
      <w:pPr>
        <w:tabs>
          <w:tab w:val="num" w:pos="2880"/>
        </w:tabs>
        <w:ind w:left="2880" w:hanging="360"/>
      </w:pPr>
    </w:lvl>
    <w:lvl w:ilvl="4" w:tplc="B80AC9EA" w:tentative="1">
      <w:start w:val="1"/>
      <w:numFmt w:val="lowerLetter"/>
      <w:lvlText w:val="%5."/>
      <w:lvlJc w:val="left"/>
      <w:pPr>
        <w:tabs>
          <w:tab w:val="num" w:pos="3600"/>
        </w:tabs>
        <w:ind w:left="3600" w:hanging="360"/>
      </w:pPr>
    </w:lvl>
    <w:lvl w:ilvl="5" w:tplc="B0C285CE" w:tentative="1">
      <w:start w:val="1"/>
      <w:numFmt w:val="lowerRoman"/>
      <w:lvlText w:val="%6."/>
      <w:lvlJc w:val="right"/>
      <w:pPr>
        <w:tabs>
          <w:tab w:val="num" w:pos="4320"/>
        </w:tabs>
        <w:ind w:left="4320" w:hanging="180"/>
      </w:pPr>
    </w:lvl>
    <w:lvl w:ilvl="6" w:tplc="D93A2056" w:tentative="1">
      <w:start w:val="1"/>
      <w:numFmt w:val="decimal"/>
      <w:lvlText w:val="%7."/>
      <w:lvlJc w:val="left"/>
      <w:pPr>
        <w:tabs>
          <w:tab w:val="num" w:pos="5040"/>
        </w:tabs>
        <w:ind w:left="5040" w:hanging="360"/>
      </w:pPr>
    </w:lvl>
    <w:lvl w:ilvl="7" w:tplc="CA584DEA" w:tentative="1">
      <w:start w:val="1"/>
      <w:numFmt w:val="lowerLetter"/>
      <w:lvlText w:val="%8."/>
      <w:lvlJc w:val="left"/>
      <w:pPr>
        <w:tabs>
          <w:tab w:val="num" w:pos="5760"/>
        </w:tabs>
        <w:ind w:left="5760" w:hanging="360"/>
      </w:pPr>
    </w:lvl>
    <w:lvl w:ilvl="8" w:tplc="80409D60" w:tentative="1">
      <w:start w:val="1"/>
      <w:numFmt w:val="lowerRoman"/>
      <w:lvlText w:val="%9."/>
      <w:lvlJc w:val="right"/>
      <w:pPr>
        <w:tabs>
          <w:tab w:val="num" w:pos="6480"/>
        </w:tabs>
        <w:ind w:left="6480" w:hanging="180"/>
      </w:pPr>
    </w:lvl>
  </w:abstractNum>
  <w:abstractNum w:abstractNumId="22">
    <w:nsid w:val="39E12E36"/>
    <w:multiLevelType w:val="hybridMultilevel"/>
    <w:tmpl w:val="6356794C"/>
    <w:lvl w:ilvl="0" w:tplc="063C885E">
      <w:start w:val="13"/>
      <w:numFmt w:val="lowerLetter"/>
      <w:lvlText w:val="(%1)"/>
      <w:lvlJc w:val="left"/>
      <w:pPr>
        <w:tabs>
          <w:tab w:val="num" w:pos="1080"/>
        </w:tabs>
        <w:ind w:left="1080" w:hanging="720"/>
      </w:pPr>
      <w:rPr>
        <w:rFonts w:hint="default"/>
      </w:rPr>
    </w:lvl>
    <w:lvl w:ilvl="1" w:tplc="FA2895A6" w:tentative="1">
      <w:start w:val="1"/>
      <w:numFmt w:val="lowerLetter"/>
      <w:lvlText w:val="%2."/>
      <w:lvlJc w:val="left"/>
      <w:pPr>
        <w:tabs>
          <w:tab w:val="num" w:pos="1440"/>
        </w:tabs>
        <w:ind w:left="1440" w:hanging="360"/>
      </w:pPr>
    </w:lvl>
    <w:lvl w:ilvl="2" w:tplc="866081C4" w:tentative="1">
      <w:start w:val="1"/>
      <w:numFmt w:val="lowerRoman"/>
      <w:lvlText w:val="%3."/>
      <w:lvlJc w:val="right"/>
      <w:pPr>
        <w:tabs>
          <w:tab w:val="num" w:pos="2160"/>
        </w:tabs>
        <w:ind w:left="2160" w:hanging="180"/>
      </w:pPr>
    </w:lvl>
    <w:lvl w:ilvl="3" w:tplc="DFFA089A" w:tentative="1">
      <w:start w:val="1"/>
      <w:numFmt w:val="decimal"/>
      <w:lvlText w:val="%4."/>
      <w:lvlJc w:val="left"/>
      <w:pPr>
        <w:tabs>
          <w:tab w:val="num" w:pos="2880"/>
        </w:tabs>
        <w:ind w:left="2880" w:hanging="360"/>
      </w:pPr>
    </w:lvl>
    <w:lvl w:ilvl="4" w:tplc="4C90BC36" w:tentative="1">
      <w:start w:val="1"/>
      <w:numFmt w:val="lowerLetter"/>
      <w:lvlText w:val="%5."/>
      <w:lvlJc w:val="left"/>
      <w:pPr>
        <w:tabs>
          <w:tab w:val="num" w:pos="3600"/>
        </w:tabs>
        <w:ind w:left="3600" w:hanging="360"/>
      </w:pPr>
    </w:lvl>
    <w:lvl w:ilvl="5" w:tplc="18A841A0" w:tentative="1">
      <w:start w:val="1"/>
      <w:numFmt w:val="lowerRoman"/>
      <w:lvlText w:val="%6."/>
      <w:lvlJc w:val="right"/>
      <w:pPr>
        <w:tabs>
          <w:tab w:val="num" w:pos="4320"/>
        </w:tabs>
        <w:ind w:left="4320" w:hanging="180"/>
      </w:pPr>
    </w:lvl>
    <w:lvl w:ilvl="6" w:tplc="F580BA34" w:tentative="1">
      <w:start w:val="1"/>
      <w:numFmt w:val="decimal"/>
      <w:lvlText w:val="%7."/>
      <w:lvlJc w:val="left"/>
      <w:pPr>
        <w:tabs>
          <w:tab w:val="num" w:pos="5040"/>
        </w:tabs>
        <w:ind w:left="5040" w:hanging="360"/>
      </w:pPr>
    </w:lvl>
    <w:lvl w:ilvl="7" w:tplc="15B2D016" w:tentative="1">
      <w:start w:val="1"/>
      <w:numFmt w:val="lowerLetter"/>
      <w:lvlText w:val="%8."/>
      <w:lvlJc w:val="left"/>
      <w:pPr>
        <w:tabs>
          <w:tab w:val="num" w:pos="5760"/>
        </w:tabs>
        <w:ind w:left="5760" w:hanging="360"/>
      </w:pPr>
    </w:lvl>
    <w:lvl w:ilvl="8" w:tplc="5E5ED3F6" w:tentative="1">
      <w:start w:val="1"/>
      <w:numFmt w:val="lowerRoman"/>
      <w:lvlText w:val="%9."/>
      <w:lvlJc w:val="right"/>
      <w:pPr>
        <w:tabs>
          <w:tab w:val="num" w:pos="6480"/>
        </w:tabs>
        <w:ind w:left="6480" w:hanging="180"/>
      </w:pPr>
    </w:lvl>
  </w:abstractNum>
  <w:abstractNum w:abstractNumId="23">
    <w:nsid w:val="3B612829"/>
    <w:multiLevelType w:val="hybridMultilevel"/>
    <w:tmpl w:val="CD5274A0"/>
    <w:lvl w:ilvl="0" w:tplc="A50A09DC">
      <w:start w:val="1"/>
      <w:numFmt w:val="lowerLetter"/>
      <w:lvlText w:val="(%1)"/>
      <w:lvlJc w:val="left"/>
      <w:pPr>
        <w:tabs>
          <w:tab w:val="num" w:pos="1764"/>
        </w:tabs>
        <w:ind w:left="1764"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C17CB1"/>
    <w:multiLevelType w:val="hybridMultilevel"/>
    <w:tmpl w:val="9B20A9A6"/>
    <w:lvl w:ilvl="0" w:tplc="88B88A32">
      <w:start w:val="2"/>
      <w:numFmt w:val="upperLetter"/>
      <w:lvlText w:val="%1."/>
      <w:lvlJc w:val="left"/>
      <w:pPr>
        <w:tabs>
          <w:tab w:val="num" w:pos="1080"/>
        </w:tabs>
        <w:ind w:left="1080" w:hanging="720"/>
      </w:pPr>
      <w:rPr>
        <w:rFonts w:hint="default"/>
        <w:u w:val="none"/>
      </w:rPr>
    </w:lvl>
    <w:lvl w:ilvl="1" w:tplc="31108980">
      <w:start w:val="7"/>
      <w:numFmt w:val="decimal"/>
      <w:lvlText w:val="%2."/>
      <w:lvlJc w:val="left"/>
      <w:pPr>
        <w:tabs>
          <w:tab w:val="num" w:pos="1800"/>
        </w:tabs>
        <w:ind w:left="1800" w:hanging="720"/>
      </w:pPr>
      <w:rPr>
        <w:rFonts w:hint="default"/>
      </w:rPr>
    </w:lvl>
    <w:lvl w:ilvl="2" w:tplc="7EECA21A" w:tentative="1">
      <w:start w:val="1"/>
      <w:numFmt w:val="lowerRoman"/>
      <w:lvlText w:val="%3."/>
      <w:lvlJc w:val="right"/>
      <w:pPr>
        <w:tabs>
          <w:tab w:val="num" w:pos="2160"/>
        </w:tabs>
        <w:ind w:left="2160" w:hanging="180"/>
      </w:pPr>
    </w:lvl>
    <w:lvl w:ilvl="3" w:tplc="3A0080F6" w:tentative="1">
      <w:start w:val="1"/>
      <w:numFmt w:val="decimal"/>
      <w:lvlText w:val="%4."/>
      <w:lvlJc w:val="left"/>
      <w:pPr>
        <w:tabs>
          <w:tab w:val="num" w:pos="2880"/>
        </w:tabs>
        <w:ind w:left="2880" w:hanging="360"/>
      </w:pPr>
    </w:lvl>
    <w:lvl w:ilvl="4" w:tplc="FFD897EA" w:tentative="1">
      <w:start w:val="1"/>
      <w:numFmt w:val="lowerLetter"/>
      <w:lvlText w:val="%5."/>
      <w:lvlJc w:val="left"/>
      <w:pPr>
        <w:tabs>
          <w:tab w:val="num" w:pos="3600"/>
        </w:tabs>
        <w:ind w:left="3600" w:hanging="360"/>
      </w:pPr>
    </w:lvl>
    <w:lvl w:ilvl="5" w:tplc="907670F0" w:tentative="1">
      <w:start w:val="1"/>
      <w:numFmt w:val="lowerRoman"/>
      <w:lvlText w:val="%6."/>
      <w:lvlJc w:val="right"/>
      <w:pPr>
        <w:tabs>
          <w:tab w:val="num" w:pos="4320"/>
        </w:tabs>
        <w:ind w:left="4320" w:hanging="180"/>
      </w:pPr>
    </w:lvl>
    <w:lvl w:ilvl="6" w:tplc="30221576" w:tentative="1">
      <w:start w:val="1"/>
      <w:numFmt w:val="decimal"/>
      <w:lvlText w:val="%7."/>
      <w:lvlJc w:val="left"/>
      <w:pPr>
        <w:tabs>
          <w:tab w:val="num" w:pos="5040"/>
        </w:tabs>
        <w:ind w:left="5040" w:hanging="360"/>
      </w:pPr>
    </w:lvl>
    <w:lvl w:ilvl="7" w:tplc="A894CF8C" w:tentative="1">
      <w:start w:val="1"/>
      <w:numFmt w:val="lowerLetter"/>
      <w:lvlText w:val="%8."/>
      <w:lvlJc w:val="left"/>
      <w:pPr>
        <w:tabs>
          <w:tab w:val="num" w:pos="5760"/>
        </w:tabs>
        <w:ind w:left="5760" w:hanging="360"/>
      </w:pPr>
    </w:lvl>
    <w:lvl w:ilvl="8" w:tplc="C0E0E17E" w:tentative="1">
      <w:start w:val="1"/>
      <w:numFmt w:val="lowerRoman"/>
      <w:lvlText w:val="%9."/>
      <w:lvlJc w:val="right"/>
      <w:pPr>
        <w:tabs>
          <w:tab w:val="num" w:pos="6480"/>
        </w:tabs>
        <w:ind w:left="6480" w:hanging="180"/>
      </w:pPr>
    </w:lvl>
  </w:abstractNum>
  <w:abstractNum w:abstractNumId="25">
    <w:nsid w:val="41C264B9"/>
    <w:multiLevelType w:val="hybridMultilevel"/>
    <w:tmpl w:val="B0425B5A"/>
    <w:lvl w:ilvl="0" w:tplc="09602C3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360E7B"/>
    <w:multiLevelType w:val="hybridMultilevel"/>
    <w:tmpl w:val="71845920"/>
    <w:lvl w:ilvl="0" w:tplc="5BB0F412">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7D18DC"/>
    <w:multiLevelType w:val="multilevel"/>
    <w:tmpl w:val="9014B6EE"/>
    <w:lvl w:ilvl="0">
      <w:start w:val="1"/>
      <w:numFmt w:val="decimal"/>
      <w:lvlText w:val="%1."/>
      <w:lvlJc w:val="left"/>
      <w:pPr>
        <w:tabs>
          <w:tab w:val="num" w:pos="960"/>
        </w:tabs>
        <w:ind w:left="960" w:hanging="6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EBC5AAB"/>
    <w:multiLevelType w:val="hybridMultilevel"/>
    <w:tmpl w:val="C0EA6A06"/>
    <w:lvl w:ilvl="0" w:tplc="597E9E2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4685F74"/>
    <w:multiLevelType w:val="hybridMultilevel"/>
    <w:tmpl w:val="A61C1C92"/>
    <w:lvl w:ilvl="0" w:tplc="987C3AF8">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554758E1"/>
    <w:multiLevelType w:val="hybridMultilevel"/>
    <w:tmpl w:val="C03079E2"/>
    <w:lvl w:ilvl="0" w:tplc="A50A09DC">
      <w:start w:val="1"/>
      <w:numFmt w:val="lowerLetter"/>
      <w:lvlText w:val="(%1)"/>
      <w:lvlJc w:val="left"/>
      <w:pPr>
        <w:tabs>
          <w:tab w:val="num" w:pos="1764"/>
        </w:tabs>
        <w:ind w:left="1764" w:hanging="360"/>
      </w:pPr>
      <w:rPr>
        <w:rFonts w:cs="Arial" w:hint="default"/>
      </w:rPr>
    </w:lvl>
    <w:lvl w:ilvl="1" w:tplc="04090019" w:tentative="1">
      <w:start w:val="1"/>
      <w:numFmt w:val="lowerLetter"/>
      <w:lvlText w:val="%2."/>
      <w:lvlJc w:val="left"/>
      <w:pPr>
        <w:tabs>
          <w:tab w:val="num" w:pos="2484"/>
        </w:tabs>
        <w:ind w:left="2484" w:hanging="360"/>
      </w:pPr>
    </w:lvl>
    <w:lvl w:ilvl="2" w:tplc="0409001B" w:tentative="1">
      <w:start w:val="1"/>
      <w:numFmt w:val="lowerRoman"/>
      <w:lvlText w:val="%3."/>
      <w:lvlJc w:val="right"/>
      <w:pPr>
        <w:tabs>
          <w:tab w:val="num" w:pos="3204"/>
        </w:tabs>
        <w:ind w:left="3204" w:hanging="180"/>
      </w:pPr>
    </w:lvl>
    <w:lvl w:ilvl="3" w:tplc="0409000F" w:tentative="1">
      <w:start w:val="1"/>
      <w:numFmt w:val="decimal"/>
      <w:lvlText w:val="%4."/>
      <w:lvlJc w:val="left"/>
      <w:pPr>
        <w:tabs>
          <w:tab w:val="num" w:pos="3924"/>
        </w:tabs>
        <w:ind w:left="3924" w:hanging="360"/>
      </w:pPr>
    </w:lvl>
    <w:lvl w:ilvl="4" w:tplc="04090019" w:tentative="1">
      <w:start w:val="1"/>
      <w:numFmt w:val="lowerLetter"/>
      <w:lvlText w:val="%5."/>
      <w:lvlJc w:val="left"/>
      <w:pPr>
        <w:tabs>
          <w:tab w:val="num" w:pos="4644"/>
        </w:tabs>
        <w:ind w:left="4644" w:hanging="360"/>
      </w:pPr>
    </w:lvl>
    <w:lvl w:ilvl="5" w:tplc="0409001B" w:tentative="1">
      <w:start w:val="1"/>
      <w:numFmt w:val="lowerRoman"/>
      <w:lvlText w:val="%6."/>
      <w:lvlJc w:val="right"/>
      <w:pPr>
        <w:tabs>
          <w:tab w:val="num" w:pos="5364"/>
        </w:tabs>
        <w:ind w:left="5364" w:hanging="180"/>
      </w:pPr>
    </w:lvl>
    <w:lvl w:ilvl="6" w:tplc="0409000F" w:tentative="1">
      <w:start w:val="1"/>
      <w:numFmt w:val="decimal"/>
      <w:lvlText w:val="%7."/>
      <w:lvlJc w:val="left"/>
      <w:pPr>
        <w:tabs>
          <w:tab w:val="num" w:pos="6084"/>
        </w:tabs>
        <w:ind w:left="6084" w:hanging="360"/>
      </w:pPr>
    </w:lvl>
    <w:lvl w:ilvl="7" w:tplc="04090019" w:tentative="1">
      <w:start w:val="1"/>
      <w:numFmt w:val="lowerLetter"/>
      <w:lvlText w:val="%8."/>
      <w:lvlJc w:val="left"/>
      <w:pPr>
        <w:tabs>
          <w:tab w:val="num" w:pos="6804"/>
        </w:tabs>
        <w:ind w:left="6804" w:hanging="360"/>
      </w:pPr>
    </w:lvl>
    <w:lvl w:ilvl="8" w:tplc="0409001B" w:tentative="1">
      <w:start w:val="1"/>
      <w:numFmt w:val="lowerRoman"/>
      <w:lvlText w:val="%9."/>
      <w:lvlJc w:val="right"/>
      <w:pPr>
        <w:tabs>
          <w:tab w:val="num" w:pos="7524"/>
        </w:tabs>
        <w:ind w:left="7524" w:hanging="180"/>
      </w:pPr>
    </w:lvl>
  </w:abstractNum>
  <w:abstractNum w:abstractNumId="31">
    <w:nsid w:val="5623349D"/>
    <w:multiLevelType w:val="hybridMultilevel"/>
    <w:tmpl w:val="A5D2DDF2"/>
    <w:lvl w:ilvl="0" w:tplc="3F483F6C">
      <w:start w:val="1"/>
      <w:numFmt w:val="lowerLetter"/>
      <w:lvlText w:val="%1)"/>
      <w:lvlJc w:val="left"/>
      <w:pPr>
        <w:tabs>
          <w:tab w:val="num" w:pos="1080"/>
        </w:tabs>
        <w:ind w:left="1080" w:hanging="360"/>
      </w:pPr>
      <w:rPr>
        <w:rFonts w:hint="default"/>
      </w:rPr>
    </w:lvl>
    <w:lvl w:ilvl="1" w:tplc="7654F834" w:tentative="1">
      <w:start w:val="1"/>
      <w:numFmt w:val="lowerLetter"/>
      <w:lvlText w:val="%2."/>
      <w:lvlJc w:val="left"/>
      <w:pPr>
        <w:tabs>
          <w:tab w:val="num" w:pos="1800"/>
        </w:tabs>
        <w:ind w:left="1800" w:hanging="360"/>
      </w:pPr>
    </w:lvl>
    <w:lvl w:ilvl="2" w:tplc="90848C8C" w:tentative="1">
      <w:start w:val="1"/>
      <w:numFmt w:val="lowerRoman"/>
      <w:lvlText w:val="%3."/>
      <w:lvlJc w:val="right"/>
      <w:pPr>
        <w:tabs>
          <w:tab w:val="num" w:pos="2520"/>
        </w:tabs>
        <w:ind w:left="2520" w:hanging="180"/>
      </w:pPr>
    </w:lvl>
    <w:lvl w:ilvl="3" w:tplc="396EAA42" w:tentative="1">
      <w:start w:val="1"/>
      <w:numFmt w:val="decimal"/>
      <w:lvlText w:val="%4."/>
      <w:lvlJc w:val="left"/>
      <w:pPr>
        <w:tabs>
          <w:tab w:val="num" w:pos="3240"/>
        </w:tabs>
        <w:ind w:left="3240" w:hanging="360"/>
      </w:pPr>
    </w:lvl>
    <w:lvl w:ilvl="4" w:tplc="1E1EEEBA" w:tentative="1">
      <w:start w:val="1"/>
      <w:numFmt w:val="lowerLetter"/>
      <w:lvlText w:val="%5."/>
      <w:lvlJc w:val="left"/>
      <w:pPr>
        <w:tabs>
          <w:tab w:val="num" w:pos="3960"/>
        </w:tabs>
        <w:ind w:left="3960" w:hanging="360"/>
      </w:pPr>
    </w:lvl>
    <w:lvl w:ilvl="5" w:tplc="1324D488" w:tentative="1">
      <w:start w:val="1"/>
      <w:numFmt w:val="lowerRoman"/>
      <w:lvlText w:val="%6."/>
      <w:lvlJc w:val="right"/>
      <w:pPr>
        <w:tabs>
          <w:tab w:val="num" w:pos="4680"/>
        </w:tabs>
        <w:ind w:left="4680" w:hanging="180"/>
      </w:pPr>
    </w:lvl>
    <w:lvl w:ilvl="6" w:tplc="1854B1BE" w:tentative="1">
      <w:start w:val="1"/>
      <w:numFmt w:val="decimal"/>
      <w:lvlText w:val="%7."/>
      <w:lvlJc w:val="left"/>
      <w:pPr>
        <w:tabs>
          <w:tab w:val="num" w:pos="5400"/>
        </w:tabs>
        <w:ind w:left="5400" w:hanging="360"/>
      </w:pPr>
    </w:lvl>
    <w:lvl w:ilvl="7" w:tplc="6EDA1EE0" w:tentative="1">
      <w:start w:val="1"/>
      <w:numFmt w:val="lowerLetter"/>
      <w:lvlText w:val="%8."/>
      <w:lvlJc w:val="left"/>
      <w:pPr>
        <w:tabs>
          <w:tab w:val="num" w:pos="6120"/>
        </w:tabs>
        <w:ind w:left="6120" w:hanging="360"/>
      </w:pPr>
    </w:lvl>
    <w:lvl w:ilvl="8" w:tplc="DE4C883E" w:tentative="1">
      <w:start w:val="1"/>
      <w:numFmt w:val="lowerRoman"/>
      <w:lvlText w:val="%9."/>
      <w:lvlJc w:val="right"/>
      <w:pPr>
        <w:tabs>
          <w:tab w:val="num" w:pos="6840"/>
        </w:tabs>
        <w:ind w:left="6840" w:hanging="180"/>
      </w:pPr>
    </w:lvl>
  </w:abstractNum>
  <w:abstractNum w:abstractNumId="32">
    <w:nsid w:val="59AC58A9"/>
    <w:multiLevelType w:val="singleLevel"/>
    <w:tmpl w:val="13F05EAA"/>
    <w:lvl w:ilvl="0">
      <w:start w:val="1"/>
      <w:numFmt w:val="lowerLetter"/>
      <w:lvlText w:val="(%1)"/>
      <w:lvlJc w:val="left"/>
      <w:pPr>
        <w:tabs>
          <w:tab w:val="num" w:pos="1440"/>
        </w:tabs>
        <w:ind w:left="1440" w:hanging="720"/>
      </w:pPr>
      <w:rPr>
        <w:rFonts w:hint="default"/>
      </w:rPr>
    </w:lvl>
  </w:abstractNum>
  <w:abstractNum w:abstractNumId="33">
    <w:nsid w:val="5A8A2BA6"/>
    <w:multiLevelType w:val="hybridMultilevel"/>
    <w:tmpl w:val="2E30649E"/>
    <w:lvl w:ilvl="0" w:tplc="0C5C9CF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5ADE37D0"/>
    <w:multiLevelType w:val="hybridMultilevel"/>
    <w:tmpl w:val="ADDC4560"/>
    <w:lvl w:ilvl="0" w:tplc="597E9E04">
      <w:start w:val="1"/>
      <w:numFmt w:val="lowerLetter"/>
      <w:lvlText w:val="(%1)"/>
      <w:lvlJc w:val="left"/>
      <w:pPr>
        <w:tabs>
          <w:tab w:val="num" w:pos="1440"/>
        </w:tabs>
        <w:ind w:left="1440" w:hanging="720"/>
      </w:pPr>
      <w:rPr>
        <w:rFonts w:hint="default"/>
        <w:b w:val="0"/>
      </w:rPr>
    </w:lvl>
    <w:lvl w:ilvl="1" w:tplc="87984BF6" w:tentative="1">
      <w:start w:val="1"/>
      <w:numFmt w:val="lowerLetter"/>
      <w:lvlText w:val="%2."/>
      <w:lvlJc w:val="left"/>
      <w:pPr>
        <w:tabs>
          <w:tab w:val="num" w:pos="1800"/>
        </w:tabs>
        <w:ind w:left="1800" w:hanging="360"/>
      </w:pPr>
    </w:lvl>
    <w:lvl w:ilvl="2" w:tplc="ABCAFF0E" w:tentative="1">
      <w:start w:val="1"/>
      <w:numFmt w:val="lowerRoman"/>
      <w:lvlText w:val="%3."/>
      <w:lvlJc w:val="right"/>
      <w:pPr>
        <w:tabs>
          <w:tab w:val="num" w:pos="2520"/>
        </w:tabs>
        <w:ind w:left="2520" w:hanging="180"/>
      </w:pPr>
    </w:lvl>
    <w:lvl w:ilvl="3" w:tplc="68C85CF6" w:tentative="1">
      <w:start w:val="1"/>
      <w:numFmt w:val="decimal"/>
      <w:lvlText w:val="%4."/>
      <w:lvlJc w:val="left"/>
      <w:pPr>
        <w:tabs>
          <w:tab w:val="num" w:pos="3240"/>
        </w:tabs>
        <w:ind w:left="3240" w:hanging="360"/>
      </w:pPr>
    </w:lvl>
    <w:lvl w:ilvl="4" w:tplc="C8BC69D4" w:tentative="1">
      <w:start w:val="1"/>
      <w:numFmt w:val="lowerLetter"/>
      <w:lvlText w:val="%5."/>
      <w:lvlJc w:val="left"/>
      <w:pPr>
        <w:tabs>
          <w:tab w:val="num" w:pos="3960"/>
        </w:tabs>
        <w:ind w:left="3960" w:hanging="360"/>
      </w:pPr>
    </w:lvl>
    <w:lvl w:ilvl="5" w:tplc="432E8828" w:tentative="1">
      <w:start w:val="1"/>
      <w:numFmt w:val="lowerRoman"/>
      <w:lvlText w:val="%6."/>
      <w:lvlJc w:val="right"/>
      <w:pPr>
        <w:tabs>
          <w:tab w:val="num" w:pos="4680"/>
        </w:tabs>
        <w:ind w:left="4680" w:hanging="180"/>
      </w:pPr>
    </w:lvl>
    <w:lvl w:ilvl="6" w:tplc="E6E6C93C" w:tentative="1">
      <w:start w:val="1"/>
      <w:numFmt w:val="decimal"/>
      <w:lvlText w:val="%7."/>
      <w:lvlJc w:val="left"/>
      <w:pPr>
        <w:tabs>
          <w:tab w:val="num" w:pos="5400"/>
        </w:tabs>
        <w:ind w:left="5400" w:hanging="360"/>
      </w:pPr>
    </w:lvl>
    <w:lvl w:ilvl="7" w:tplc="84F4274C" w:tentative="1">
      <w:start w:val="1"/>
      <w:numFmt w:val="lowerLetter"/>
      <w:lvlText w:val="%8."/>
      <w:lvlJc w:val="left"/>
      <w:pPr>
        <w:tabs>
          <w:tab w:val="num" w:pos="6120"/>
        </w:tabs>
        <w:ind w:left="6120" w:hanging="360"/>
      </w:pPr>
    </w:lvl>
    <w:lvl w:ilvl="8" w:tplc="19981BCA" w:tentative="1">
      <w:start w:val="1"/>
      <w:numFmt w:val="lowerRoman"/>
      <w:lvlText w:val="%9."/>
      <w:lvlJc w:val="right"/>
      <w:pPr>
        <w:tabs>
          <w:tab w:val="num" w:pos="6840"/>
        </w:tabs>
        <w:ind w:left="6840" w:hanging="180"/>
      </w:pPr>
    </w:lvl>
  </w:abstractNum>
  <w:abstractNum w:abstractNumId="35">
    <w:nsid w:val="5F440063"/>
    <w:multiLevelType w:val="singleLevel"/>
    <w:tmpl w:val="F3AA5E04"/>
    <w:lvl w:ilvl="0">
      <w:start w:val="4"/>
      <w:numFmt w:val="lowerLetter"/>
      <w:lvlText w:val="(%1)"/>
      <w:lvlJc w:val="left"/>
      <w:pPr>
        <w:tabs>
          <w:tab w:val="num" w:pos="720"/>
        </w:tabs>
        <w:ind w:left="720" w:hanging="720"/>
      </w:pPr>
      <w:rPr>
        <w:rFonts w:hint="default"/>
      </w:rPr>
    </w:lvl>
  </w:abstractNum>
  <w:abstractNum w:abstractNumId="36">
    <w:nsid w:val="650C5A10"/>
    <w:multiLevelType w:val="hybridMultilevel"/>
    <w:tmpl w:val="B984A4A6"/>
    <w:lvl w:ilvl="0" w:tplc="09602C3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7BA2032"/>
    <w:multiLevelType w:val="multilevel"/>
    <w:tmpl w:val="31028D32"/>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FBB37CE"/>
    <w:multiLevelType w:val="hybridMultilevel"/>
    <w:tmpl w:val="F0044CD4"/>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9">
    <w:nsid w:val="716A3CD0"/>
    <w:multiLevelType w:val="hybridMultilevel"/>
    <w:tmpl w:val="830CDD34"/>
    <w:lvl w:ilvl="0" w:tplc="7A044A7E">
      <w:start w:val="2"/>
      <w:numFmt w:val="lowerRoman"/>
      <w:lvlText w:val="%1)"/>
      <w:lvlJc w:val="left"/>
      <w:pPr>
        <w:tabs>
          <w:tab w:val="num" w:pos="1620"/>
        </w:tabs>
        <w:ind w:left="1620" w:hanging="900"/>
      </w:pPr>
      <w:rPr>
        <w:rFonts w:hint="default"/>
      </w:rPr>
    </w:lvl>
    <w:lvl w:ilvl="1" w:tplc="4AB69438" w:tentative="1">
      <w:start w:val="1"/>
      <w:numFmt w:val="lowerLetter"/>
      <w:lvlText w:val="%2."/>
      <w:lvlJc w:val="left"/>
      <w:pPr>
        <w:tabs>
          <w:tab w:val="num" w:pos="1800"/>
        </w:tabs>
        <w:ind w:left="1800" w:hanging="360"/>
      </w:pPr>
    </w:lvl>
    <w:lvl w:ilvl="2" w:tplc="99DC153C" w:tentative="1">
      <w:start w:val="1"/>
      <w:numFmt w:val="lowerRoman"/>
      <w:lvlText w:val="%3."/>
      <w:lvlJc w:val="right"/>
      <w:pPr>
        <w:tabs>
          <w:tab w:val="num" w:pos="2520"/>
        </w:tabs>
        <w:ind w:left="2520" w:hanging="180"/>
      </w:pPr>
    </w:lvl>
    <w:lvl w:ilvl="3" w:tplc="008EAC40" w:tentative="1">
      <w:start w:val="1"/>
      <w:numFmt w:val="decimal"/>
      <w:lvlText w:val="%4."/>
      <w:lvlJc w:val="left"/>
      <w:pPr>
        <w:tabs>
          <w:tab w:val="num" w:pos="3240"/>
        </w:tabs>
        <w:ind w:left="3240" w:hanging="360"/>
      </w:pPr>
    </w:lvl>
    <w:lvl w:ilvl="4" w:tplc="B8DA3002" w:tentative="1">
      <w:start w:val="1"/>
      <w:numFmt w:val="lowerLetter"/>
      <w:lvlText w:val="%5."/>
      <w:lvlJc w:val="left"/>
      <w:pPr>
        <w:tabs>
          <w:tab w:val="num" w:pos="3960"/>
        </w:tabs>
        <w:ind w:left="3960" w:hanging="360"/>
      </w:pPr>
    </w:lvl>
    <w:lvl w:ilvl="5" w:tplc="46B6053A" w:tentative="1">
      <w:start w:val="1"/>
      <w:numFmt w:val="lowerRoman"/>
      <w:lvlText w:val="%6."/>
      <w:lvlJc w:val="right"/>
      <w:pPr>
        <w:tabs>
          <w:tab w:val="num" w:pos="4680"/>
        </w:tabs>
        <w:ind w:left="4680" w:hanging="180"/>
      </w:pPr>
    </w:lvl>
    <w:lvl w:ilvl="6" w:tplc="CADAA728" w:tentative="1">
      <w:start w:val="1"/>
      <w:numFmt w:val="decimal"/>
      <w:lvlText w:val="%7."/>
      <w:lvlJc w:val="left"/>
      <w:pPr>
        <w:tabs>
          <w:tab w:val="num" w:pos="5400"/>
        </w:tabs>
        <w:ind w:left="5400" w:hanging="360"/>
      </w:pPr>
    </w:lvl>
    <w:lvl w:ilvl="7" w:tplc="539874A2" w:tentative="1">
      <w:start w:val="1"/>
      <w:numFmt w:val="lowerLetter"/>
      <w:lvlText w:val="%8."/>
      <w:lvlJc w:val="left"/>
      <w:pPr>
        <w:tabs>
          <w:tab w:val="num" w:pos="6120"/>
        </w:tabs>
        <w:ind w:left="6120" w:hanging="360"/>
      </w:pPr>
    </w:lvl>
    <w:lvl w:ilvl="8" w:tplc="FF82DAE0" w:tentative="1">
      <w:start w:val="1"/>
      <w:numFmt w:val="lowerRoman"/>
      <w:lvlText w:val="%9."/>
      <w:lvlJc w:val="right"/>
      <w:pPr>
        <w:tabs>
          <w:tab w:val="num" w:pos="6840"/>
        </w:tabs>
        <w:ind w:left="6840" w:hanging="180"/>
      </w:pPr>
    </w:lvl>
  </w:abstractNum>
  <w:abstractNum w:abstractNumId="40">
    <w:nsid w:val="71E41B58"/>
    <w:multiLevelType w:val="multilevel"/>
    <w:tmpl w:val="3E581F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4344924"/>
    <w:multiLevelType w:val="multilevel"/>
    <w:tmpl w:val="C03079E2"/>
    <w:lvl w:ilvl="0">
      <w:start w:val="1"/>
      <w:numFmt w:val="lowerLetter"/>
      <w:lvlText w:val="(%1)"/>
      <w:lvlJc w:val="left"/>
      <w:pPr>
        <w:tabs>
          <w:tab w:val="num" w:pos="1764"/>
        </w:tabs>
        <w:ind w:left="1764" w:hanging="360"/>
      </w:pPr>
      <w:rPr>
        <w:rFonts w:cs="Arial" w:hint="default"/>
      </w:rPr>
    </w:lvl>
    <w:lvl w:ilvl="1">
      <w:start w:val="1"/>
      <w:numFmt w:val="lowerLetter"/>
      <w:lvlText w:val="%2."/>
      <w:lvlJc w:val="left"/>
      <w:pPr>
        <w:tabs>
          <w:tab w:val="num" w:pos="2484"/>
        </w:tabs>
        <w:ind w:left="2484" w:hanging="360"/>
      </w:pPr>
    </w:lvl>
    <w:lvl w:ilvl="2">
      <w:start w:val="1"/>
      <w:numFmt w:val="lowerRoman"/>
      <w:lvlText w:val="%3."/>
      <w:lvlJc w:val="right"/>
      <w:pPr>
        <w:tabs>
          <w:tab w:val="num" w:pos="3204"/>
        </w:tabs>
        <w:ind w:left="3204" w:hanging="180"/>
      </w:pPr>
    </w:lvl>
    <w:lvl w:ilvl="3">
      <w:start w:val="1"/>
      <w:numFmt w:val="decimal"/>
      <w:lvlText w:val="%4."/>
      <w:lvlJc w:val="left"/>
      <w:pPr>
        <w:tabs>
          <w:tab w:val="num" w:pos="3924"/>
        </w:tabs>
        <w:ind w:left="3924" w:hanging="360"/>
      </w:pPr>
    </w:lvl>
    <w:lvl w:ilvl="4">
      <w:start w:val="1"/>
      <w:numFmt w:val="lowerLetter"/>
      <w:lvlText w:val="%5."/>
      <w:lvlJc w:val="left"/>
      <w:pPr>
        <w:tabs>
          <w:tab w:val="num" w:pos="4644"/>
        </w:tabs>
        <w:ind w:left="4644" w:hanging="360"/>
      </w:pPr>
    </w:lvl>
    <w:lvl w:ilvl="5">
      <w:start w:val="1"/>
      <w:numFmt w:val="lowerRoman"/>
      <w:lvlText w:val="%6."/>
      <w:lvlJc w:val="right"/>
      <w:pPr>
        <w:tabs>
          <w:tab w:val="num" w:pos="5364"/>
        </w:tabs>
        <w:ind w:left="5364" w:hanging="180"/>
      </w:pPr>
    </w:lvl>
    <w:lvl w:ilvl="6">
      <w:start w:val="1"/>
      <w:numFmt w:val="decimal"/>
      <w:lvlText w:val="%7."/>
      <w:lvlJc w:val="left"/>
      <w:pPr>
        <w:tabs>
          <w:tab w:val="num" w:pos="6084"/>
        </w:tabs>
        <w:ind w:left="6084" w:hanging="360"/>
      </w:pPr>
    </w:lvl>
    <w:lvl w:ilvl="7">
      <w:start w:val="1"/>
      <w:numFmt w:val="lowerLetter"/>
      <w:lvlText w:val="%8."/>
      <w:lvlJc w:val="left"/>
      <w:pPr>
        <w:tabs>
          <w:tab w:val="num" w:pos="6804"/>
        </w:tabs>
        <w:ind w:left="6804" w:hanging="360"/>
      </w:pPr>
    </w:lvl>
    <w:lvl w:ilvl="8">
      <w:start w:val="1"/>
      <w:numFmt w:val="lowerRoman"/>
      <w:lvlText w:val="%9."/>
      <w:lvlJc w:val="right"/>
      <w:pPr>
        <w:tabs>
          <w:tab w:val="num" w:pos="7524"/>
        </w:tabs>
        <w:ind w:left="7524" w:hanging="180"/>
      </w:pPr>
    </w:lvl>
  </w:abstractNum>
  <w:abstractNum w:abstractNumId="42">
    <w:nsid w:val="754A5BAA"/>
    <w:multiLevelType w:val="hybridMultilevel"/>
    <w:tmpl w:val="CCFC721E"/>
    <w:lvl w:ilvl="0" w:tplc="E2EE801A">
      <w:start w:val="13"/>
      <w:numFmt w:val="lowerLetter"/>
      <w:lvlText w:val="(%1)"/>
      <w:lvlJc w:val="left"/>
      <w:pPr>
        <w:tabs>
          <w:tab w:val="num" w:pos="720"/>
        </w:tabs>
        <w:ind w:left="720" w:hanging="360"/>
      </w:pPr>
      <w:rPr>
        <w:rFonts w:hint="default"/>
      </w:rPr>
    </w:lvl>
    <w:lvl w:ilvl="1" w:tplc="F28ED84A" w:tentative="1">
      <w:start w:val="1"/>
      <w:numFmt w:val="lowerLetter"/>
      <w:lvlText w:val="%2."/>
      <w:lvlJc w:val="left"/>
      <w:pPr>
        <w:tabs>
          <w:tab w:val="num" w:pos="1440"/>
        </w:tabs>
        <w:ind w:left="1440" w:hanging="360"/>
      </w:pPr>
    </w:lvl>
    <w:lvl w:ilvl="2" w:tplc="31EA4EF0" w:tentative="1">
      <w:start w:val="1"/>
      <w:numFmt w:val="lowerRoman"/>
      <w:lvlText w:val="%3."/>
      <w:lvlJc w:val="right"/>
      <w:pPr>
        <w:tabs>
          <w:tab w:val="num" w:pos="2160"/>
        </w:tabs>
        <w:ind w:left="2160" w:hanging="180"/>
      </w:pPr>
    </w:lvl>
    <w:lvl w:ilvl="3" w:tplc="E22EB9CA" w:tentative="1">
      <w:start w:val="1"/>
      <w:numFmt w:val="decimal"/>
      <w:lvlText w:val="%4."/>
      <w:lvlJc w:val="left"/>
      <w:pPr>
        <w:tabs>
          <w:tab w:val="num" w:pos="2880"/>
        </w:tabs>
        <w:ind w:left="2880" w:hanging="360"/>
      </w:pPr>
    </w:lvl>
    <w:lvl w:ilvl="4" w:tplc="14C66E34" w:tentative="1">
      <w:start w:val="1"/>
      <w:numFmt w:val="lowerLetter"/>
      <w:lvlText w:val="%5."/>
      <w:lvlJc w:val="left"/>
      <w:pPr>
        <w:tabs>
          <w:tab w:val="num" w:pos="3600"/>
        </w:tabs>
        <w:ind w:left="3600" w:hanging="360"/>
      </w:pPr>
    </w:lvl>
    <w:lvl w:ilvl="5" w:tplc="27E4BD42" w:tentative="1">
      <w:start w:val="1"/>
      <w:numFmt w:val="lowerRoman"/>
      <w:lvlText w:val="%6."/>
      <w:lvlJc w:val="right"/>
      <w:pPr>
        <w:tabs>
          <w:tab w:val="num" w:pos="4320"/>
        </w:tabs>
        <w:ind w:left="4320" w:hanging="180"/>
      </w:pPr>
    </w:lvl>
    <w:lvl w:ilvl="6" w:tplc="36083E0C" w:tentative="1">
      <w:start w:val="1"/>
      <w:numFmt w:val="decimal"/>
      <w:lvlText w:val="%7."/>
      <w:lvlJc w:val="left"/>
      <w:pPr>
        <w:tabs>
          <w:tab w:val="num" w:pos="5040"/>
        </w:tabs>
        <w:ind w:left="5040" w:hanging="360"/>
      </w:pPr>
    </w:lvl>
    <w:lvl w:ilvl="7" w:tplc="C81A0A10" w:tentative="1">
      <w:start w:val="1"/>
      <w:numFmt w:val="lowerLetter"/>
      <w:lvlText w:val="%8."/>
      <w:lvlJc w:val="left"/>
      <w:pPr>
        <w:tabs>
          <w:tab w:val="num" w:pos="5760"/>
        </w:tabs>
        <w:ind w:left="5760" w:hanging="360"/>
      </w:pPr>
    </w:lvl>
    <w:lvl w:ilvl="8" w:tplc="698A5004" w:tentative="1">
      <w:start w:val="1"/>
      <w:numFmt w:val="lowerRoman"/>
      <w:lvlText w:val="%9."/>
      <w:lvlJc w:val="right"/>
      <w:pPr>
        <w:tabs>
          <w:tab w:val="num" w:pos="6480"/>
        </w:tabs>
        <w:ind w:left="6480" w:hanging="180"/>
      </w:pPr>
    </w:lvl>
  </w:abstractNum>
  <w:abstractNum w:abstractNumId="43">
    <w:nsid w:val="7A723153"/>
    <w:multiLevelType w:val="multilevel"/>
    <w:tmpl w:val="EF52A21C"/>
    <w:lvl w:ilvl="0">
      <w:start w:val="2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7DE32FF3"/>
    <w:multiLevelType w:val="hybridMultilevel"/>
    <w:tmpl w:val="F99A0F1A"/>
    <w:lvl w:ilvl="0" w:tplc="A6405A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F472D3D"/>
    <w:multiLevelType w:val="multilevel"/>
    <w:tmpl w:val="B984A4A6"/>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num>
  <w:num w:numId="2">
    <w:abstractNumId w:val="40"/>
  </w:num>
  <w:num w:numId="3">
    <w:abstractNumId w:val="20"/>
  </w:num>
  <w:num w:numId="4">
    <w:abstractNumId w:val="13"/>
  </w:num>
  <w:num w:numId="5">
    <w:abstractNumId w:val="11"/>
  </w:num>
  <w:num w:numId="6">
    <w:abstractNumId w:val="43"/>
  </w:num>
  <w:num w:numId="7">
    <w:abstractNumId w:val="10"/>
  </w:num>
  <w:num w:numId="8">
    <w:abstractNumId w:val="7"/>
  </w:num>
  <w:num w:numId="9">
    <w:abstractNumId w:val="6"/>
  </w:num>
  <w:num w:numId="10">
    <w:abstractNumId w:val="35"/>
  </w:num>
  <w:num w:numId="11">
    <w:abstractNumId w:val="3"/>
  </w:num>
  <w:num w:numId="12">
    <w:abstractNumId w:val="4"/>
  </w:num>
  <w:num w:numId="13">
    <w:abstractNumId w:val="8"/>
  </w:num>
  <w:num w:numId="14">
    <w:abstractNumId w:val="16"/>
  </w:num>
  <w:num w:numId="15">
    <w:abstractNumId w:val="31"/>
  </w:num>
  <w:num w:numId="16">
    <w:abstractNumId w:val="39"/>
  </w:num>
  <w:num w:numId="17">
    <w:abstractNumId w:val="22"/>
  </w:num>
  <w:num w:numId="18">
    <w:abstractNumId w:val="42"/>
  </w:num>
  <w:num w:numId="19">
    <w:abstractNumId w:val="5"/>
  </w:num>
  <w:num w:numId="20">
    <w:abstractNumId w:val="9"/>
  </w:num>
  <w:num w:numId="21">
    <w:abstractNumId w:val="24"/>
  </w:num>
  <w:num w:numId="22">
    <w:abstractNumId w:val="12"/>
  </w:num>
  <w:num w:numId="23">
    <w:abstractNumId w:val="21"/>
  </w:num>
  <w:num w:numId="24">
    <w:abstractNumId w:val="34"/>
  </w:num>
  <w:num w:numId="25">
    <w:abstractNumId w:val="37"/>
  </w:num>
  <w:num w:numId="26">
    <w:abstractNumId w:val="17"/>
  </w:num>
  <w:num w:numId="27">
    <w:abstractNumId w:val="29"/>
  </w:num>
  <w:num w:numId="28">
    <w:abstractNumId w:val="18"/>
  </w:num>
  <w:num w:numId="29">
    <w:abstractNumId w:val="32"/>
  </w:num>
  <w:num w:numId="30">
    <w:abstractNumId w:val="38"/>
  </w:num>
  <w:num w:numId="31">
    <w:abstractNumId w:val="28"/>
  </w:num>
  <w:num w:numId="32">
    <w:abstractNumId w:val="36"/>
  </w:num>
  <w:num w:numId="33">
    <w:abstractNumId w:val="44"/>
  </w:num>
  <w:num w:numId="34">
    <w:abstractNumId w:val="45"/>
  </w:num>
  <w:num w:numId="35">
    <w:abstractNumId w:val="25"/>
  </w:num>
  <w:num w:numId="36">
    <w:abstractNumId w:val="27"/>
  </w:num>
  <w:num w:numId="37">
    <w:abstractNumId w:val="1"/>
  </w:num>
  <w:num w:numId="38">
    <w:abstractNumId w:val="26"/>
  </w:num>
  <w:num w:numId="39">
    <w:abstractNumId w:val="30"/>
  </w:num>
  <w:num w:numId="40">
    <w:abstractNumId w:val="41"/>
  </w:num>
  <w:num w:numId="41">
    <w:abstractNumId w:val="23"/>
  </w:num>
  <w:num w:numId="42">
    <w:abstractNumId w:val="19"/>
  </w:num>
  <w:num w:numId="43">
    <w:abstractNumId w:val="15"/>
  </w:num>
  <w:num w:numId="44">
    <w:abstractNumId w:val="33"/>
  </w:num>
  <w:num w:numId="45">
    <w:abstractNumId w:val="14"/>
  </w:num>
  <w:num w:numId="4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2F72DF"/>
    <w:rsid w:val="000021A0"/>
    <w:rsid w:val="00003ACE"/>
    <w:rsid w:val="00010573"/>
    <w:rsid w:val="000109DA"/>
    <w:rsid w:val="0001229B"/>
    <w:rsid w:val="0001285A"/>
    <w:rsid w:val="00012C13"/>
    <w:rsid w:val="00013959"/>
    <w:rsid w:val="00013B01"/>
    <w:rsid w:val="0001427F"/>
    <w:rsid w:val="00016748"/>
    <w:rsid w:val="000167F1"/>
    <w:rsid w:val="00017AA2"/>
    <w:rsid w:val="00026A00"/>
    <w:rsid w:val="00027B64"/>
    <w:rsid w:val="00030D17"/>
    <w:rsid w:val="000341F4"/>
    <w:rsid w:val="000370FF"/>
    <w:rsid w:val="00037832"/>
    <w:rsid w:val="000401E2"/>
    <w:rsid w:val="00044F3D"/>
    <w:rsid w:val="000457DD"/>
    <w:rsid w:val="00047985"/>
    <w:rsid w:val="00052070"/>
    <w:rsid w:val="000552F6"/>
    <w:rsid w:val="00057CB1"/>
    <w:rsid w:val="0006116D"/>
    <w:rsid w:val="00063757"/>
    <w:rsid w:val="00063C6D"/>
    <w:rsid w:val="00064526"/>
    <w:rsid w:val="0006665D"/>
    <w:rsid w:val="00067829"/>
    <w:rsid w:val="00076EF5"/>
    <w:rsid w:val="000811E0"/>
    <w:rsid w:val="00082C64"/>
    <w:rsid w:val="00082DE8"/>
    <w:rsid w:val="00082E30"/>
    <w:rsid w:val="00085420"/>
    <w:rsid w:val="00090AE9"/>
    <w:rsid w:val="0009119A"/>
    <w:rsid w:val="00091865"/>
    <w:rsid w:val="00092DEE"/>
    <w:rsid w:val="000963A6"/>
    <w:rsid w:val="00096BD4"/>
    <w:rsid w:val="0009728D"/>
    <w:rsid w:val="00097FE6"/>
    <w:rsid w:val="000A060B"/>
    <w:rsid w:val="000A437B"/>
    <w:rsid w:val="000A4BB1"/>
    <w:rsid w:val="000B1123"/>
    <w:rsid w:val="000B526F"/>
    <w:rsid w:val="000B6309"/>
    <w:rsid w:val="000C1971"/>
    <w:rsid w:val="000C1D41"/>
    <w:rsid w:val="000C607D"/>
    <w:rsid w:val="000C6D61"/>
    <w:rsid w:val="000D596D"/>
    <w:rsid w:val="000E1F73"/>
    <w:rsid w:val="000E1FEE"/>
    <w:rsid w:val="000E23DE"/>
    <w:rsid w:val="000F1463"/>
    <w:rsid w:val="000F17BC"/>
    <w:rsid w:val="000F1E49"/>
    <w:rsid w:val="000F33F4"/>
    <w:rsid w:val="000F3DD3"/>
    <w:rsid w:val="00100FC3"/>
    <w:rsid w:val="00102116"/>
    <w:rsid w:val="001051B3"/>
    <w:rsid w:val="0010780B"/>
    <w:rsid w:val="00110386"/>
    <w:rsid w:val="00111BF9"/>
    <w:rsid w:val="00111C0A"/>
    <w:rsid w:val="001120F9"/>
    <w:rsid w:val="00117BEB"/>
    <w:rsid w:val="001216BE"/>
    <w:rsid w:val="00121F88"/>
    <w:rsid w:val="00124436"/>
    <w:rsid w:val="00124DC7"/>
    <w:rsid w:val="001269A6"/>
    <w:rsid w:val="00126B2A"/>
    <w:rsid w:val="001271FD"/>
    <w:rsid w:val="0012727F"/>
    <w:rsid w:val="001279D0"/>
    <w:rsid w:val="00127C05"/>
    <w:rsid w:val="00131F55"/>
    <w:rsid w:val="001320F5"/>
    <w:rsid w:val="00132D67"/>
    <w:rsid w:val="001342F1"/>
    <w:rsid w:val="00134962"/>
    <w:rsid w:val="00134E5E"/>
    <w:rsid w:val="001424EE"/>
    <w:rsid w:val="001428E5"/>
    <w:rsid w:val="00144A70"/>
    <w:rsid w:val="00147674"/>
    <w:rsid w:val="00151832"/>
    <w:rsid w:val="00151FAA"/>
    <w:rsid w:val="001528FD"/>
    <w:rsid w:val="00155BB3"/>
    <w:rsid w:val="0015654B"/>
    <w:rsid w:val="00164CC7"/>
    <w:rsid w:val="00170FDE"/>
    <w:rsid w:val="001728BF"/>
    <w:rsid w:val="00172A27"/>
    <w:rsid w:val="00173C8B"/>
    <w:rsid w:val="00174ED9"/>
    <w:rsid w:val="00175FB3"/>
    <w:rsid w:val="00176DA8"/>
    <w:rsid w:val="00177427"/>
    <w:rsid w:val="00177A1C"/>
    <w:rsid w:val="00177BF8"/>
    <w:rsid w:val="001802A6"/>
    <w:rsid w:val="00180621"/>
    <w:rsid w:val="00183024"/>
    <w:rsid w:val="001853DD"/>
    <w:rsid w:val="00187894"/>
    <w:rsid w:val="00187988"/>
    <w:rsid w:val="001904C2"/>
    <w:rsid w:val="001905D5"/>
    <w:rsid w:val="0019084C"/>
    <w:rsid w:val="00190C07"/>
    <w:rsid w:val="00191154"/>
    <w:rsid w:val="00191E75"/>
    <w:rsid w:val="001A128D"/>
    <w:rsid w:val="001A3A5B"/>
    <w:rsid w:val="001A425D"/>
    <w:rsid w:val="001A6CB1"/>
    <w:rsid w:val="001A7E28"/>
    <w:rsid w:val="001B05A0"/>
    <w:rsid w:val="001B0FCA"/>
    <w:rsid w:val="001B6CC3"/>
    <w:rsid w:val="001B78AF"/>
    <w:rsid w:val="001C1EB7"/>
    <w:rsid w:val="001C200E"/>
    <w:rsid w:val="001C5791"/>
    <w:rsid w:val="001C58DD"/>
    <w:rsid w:val="001C6781"/>
    <w:rsid w:val="001C6A77"/>
    <w:rsid w:val="001C6B0A"/>
    <w:rsid w:val="001D05B7"/>
    <w:rsid w:val="001D0822"/>
    <w:rsid w:val="001D267C"/>
    <w:rsid w:val="001D4336"/>
    <w:rsid w:val="001D5453"/>
    <w:rsid w:val="001D60AD"/>
    <w:rsid w:val="001E259A"/>
    <w:rsid w:val="001E3712"/>
    <w:rsid w:val="001F04BF"/>
    <w:rsid w:val="001F1229"/>
    <w:rsid w:val="001F15FC"/>
    <w:rsid w:val="001F719B"/>
    <w:rsid w:val="001F7393"/>
    <w:rsid w:val="00200F06"/>
    <w:rsid w:val="002023F4"/>
    <w:rsid w:val="002033B5"/>
    <w:rsid w:val="00203A15"/>
    <w:rsid w:val="002045B7"/>
    <w:rsid w:val="00204CDB"/>
    <w:rsid w:val="00204F92"/>
    <w:rsid w:val="00205AAC"/>
    <w:rsid w:val="00207C2C"/>
    <w:rsid w:val="002112D0"/>
    <w:rsid w:val="002117D3"/>
    <w:rsid w:val="00214002"/>
    <w:rsid w:val="00214108"/>
    <w:rsid w:val="002153FA"/>
    <w:rsid w:val="00216D59"/>
    <w:rsid w:val="00216ED4"/>
    <w:rsid w:val="002206AF"/>
    <w:rsid w:val="00223C42"/>
    <w:rsid w:val="00224CC9"/>
    <w:rsid w:val="00227B3E"/>
    <w:rsid w:val="00230CE8"/>
    <w:rsid w:val="00237AF4"/>
    <w:rsid w:val="00242536"/>
    <w:rsid w:val="00243B74"/>
    <w:rsid w:val="00246BDF"/>
    <w:rsid w:val="002502FB"/>
    <w:rsid w:val="00251DC9"/>
    <w:rsid w:val="00255226"/>
    <w:rsid w:val="002553C8"/>
    <w:rsid w:val="002562AC"/>
    <w:rsid w:val="00256F30"/>
    <w:rsid w:val="00257225"/>
    <w:rsid w:val="002574D1"/>
    <w:rsid w:val="0026153A"/>
    <w:rsid w:val="002615D3"/>
    <w:rsid w:val="00266576"/>
    <w:rsid w:val="0027018E"/>
    <w:rsid w:val="0027089A"/>
    <w:rsid w:val="00271EC2"/>
    <w:rsid w:val="0027212A"/>
    <w:rsid w:val="002723D7"/>
    <w:rsid w:val="00273B54"/>
    <w:rsid w:val="00273D47"/>
    <w:rsid w:val="0027666A"/>
    <w:rsid w:val="002767AF"/>
    <w:rsid w:val="00277072"/>
    <w:rsid w:val="00277D1A"/>
    <w:rsid w:val="00281B84"/>
    <w:rsid w:val="00281C43"/>
    <w:rsid w:val="00282733"/>
    <w:rsid w:val="0028469F"/>
    <w:rsid w:val="00285FB6"/>
    <w:rsid w:val="00286CEB"/>
    <w:rsid w:val="00286F2C"/>
    <w:rsid w:val="00297E46"/>
    <w:rsid w:val="002A0FD4"/>
    <w:rsid w:val="002A633C"/>
    <w:rsid w:val="002A6E9A"/>
    <w:rsid w:val="002B03D3"/>
    <w:rsid w:val="002B13D7"/>
    <w:rsid w:val="002B3C86"/>
    <w:rsid w:val="002B6F82"/>
    <w:rsid w:val="002C0F52"/>
    <w:rsid w:val="002C3E53"/>
    <w:rsid w:val="002D276D"/>
    <w:rsid w:val="002D37FC"/>
    <w:rsid w:val="002D6775"/>
    <w:rsid w:val="002E0011"/>
    <w:rsid w:val="002F17C4"/>
    <w:rsid w:val="002F72DF"/>
    <w:rsid w:val="00301E08"/>
    <w:rsid w:val="00302E5F"/>
    <w:rsid w:val="00303442"/>
    <w:rsid w:val="00305661"/>
    <w:rsid w:val="003073AF"/>
    <w:rsid w:val="0031024B"/>
    <w:rsid w:val="00312E63"/>
    <w:rsid w:val="0031388F"/>
    <w:rsid w:val="0031503D"/>
    <w:rsid w:val="00315251"/>
    <w:rsid w:val="0031532D"/>
    <w:rsid w:val="003154A7"/>
    <w:rsid w:val="003159D3"/>
    <w:rsid w:val="00320F14"/>
    <w:rsid w:val="00321F16"/>
    <w:rsid w:val="003225DF"/>
    <w:rsid w:val="0032545F"/>
    <w:rsid w:val="00330AED"/>
    <w:rsid w:val="00331491"/>
    <w:rsid w:val="0033240D"/>
    <w:rsid w:val="00334469"/>
    <w:rsid w:val="00334A4B"/>
    <w:rsid w:val="00336F10"/>
    <w:rsid w:val="00337095"/>
    <w:rsid w:val="00344C8C"/>
    <w:rsid w:val="00344E4D"/>
    <w:rsid w:val="0034665A"/>
    <w:rsid w:val="00346A4B"/>
    <w:rsid w:val="00347353"/>
    <w:rsid w:val="0035258C"/>
    <w:rsid w:val="00353A9A"/>
    <w:rsid w:val="00353B01"/>
    <w:rsid w:val="00357CE7"/>
    <w:rsid w:val="00364AE8"/>
    <w:rsid w:val="00370528"/>
    <w:rsid w:val="0037167E"/>
    <w:rsid w:val="003718B5"/>
    <w:rsid w:val="00374275"/>
    <w:rsid w:val="00374DF6"/>
    <w:rsid w:val="00374E4A"/>
    <w:rsid w:val="00375674"/>
    <w:rsid w:val="003756B0"/>
    <w:rsid w:val="00376A41"/>
    <w:rsid w:val="0038023C"/>
    <w:rsid w:val="0038205F"/>
    <w:rsid w:val="0038714D"/>
    <w:rsid w:val="00390385"/>
    <w:rsid w:val="003923CF"/>
    <w:rsid w:val="00392411"/>
    <w:rsid w:val="003932D9"/>
    <w:rsid w:val="00393B64"/>
    <w:rsid w:val="00393C76"/>
    <w:rsid w:val="00397208"/>
    <w:rsid w:val="003A22E8"/>
    <w:rsid w:val="003A2AD8"/>
    <w:rsid w:val="003A4033"/>
    <w:rsid w:val="003A56D7"/>
    <w:rsid w:val="003B0117"/>
    <w:rsid w:val="003B12B4"/>
    <w:rsid w:val="003B25B4"/>
    <w:rsid w:val="003B29C0"/>
    <w:rsid w:val="003B5844"/>
    <w:rsid w:val="003C0124"/>
    <w:rsid w:val="003C1544"/>
    <w:rsid w:val="003C1902"/>
    <w:rsid w:val="003C1B79"/>
    <w:rsid w:val="003C2553"/>
    <w:rsid w:val="003C3734"/>
    <w:rsid w:val="003C5F47"/>
    <w:rsid w:val="003C6CFA"/>
    <w:rsid w:val="003D17E4"/>
    <w:rsid w:val="003D2FF3"/>
    <w:rsid w:val="003D3C51"/>
    <w:rsid w:val="003D4DA5"/>
    <w:rsid w:val="003D5808"/>
    <w:rsid w:val="003D7175"/>
    <w:rsid w:val="003E0593"/>
    <w:rsid w:val="003E10CA"/>
    <w:rsid w:val="003E41D0"/>
    <w:rsid w:val="003E5B80"/>
    <w:rsid w:val="003E7853"/>
    <w:rsid w:val="003E7E70"/>
    <w:rsid w:val="003F0145"/>
    <w:rsid w:val="003F1BF9"/>
    <w:rsid w:val="003F4017"/>
    <w:rsid w:val="003F48DA"/>
    <w:rsid w:val="003F4D6F"/>
    <w:rsid w:val="0040030A"/>
    <w:rsid w:val="004018CE"/>
    <w:rsid w:val="00405553"/>
    <w:rsid w:val="00405F7B"/>
    <w:rsid w:val="0040798E"/>
    <w:rsid w:val="004106AD"/>
    <w:rsid w:val="00412B88"/>
    <w:rsid w:val="0041593D"/>
    <w:rsid w:val="00416EDC"/>
    <w:rsid w:val="004203AB"/>
    <w:rsid w:val="00420423"/>
    <w:rsid w:val="00420541"/>
    <w:rsid w:val="00425022"/>
    <w:rsid w:val="00425054"/>
    <w:rsid w:val="004259BC"/>
    <w:rsid w:val="00432574"/>
    <w:rsid w:val="00433035"/>
    <w:rsid w:val="00433522"/>
    <w:rsid w:val="00434F5C"/>
    <w:rsid w:val="004406A6"/>
    <w:rsid w:val="0044091A"/>
    <w:rsid w:val="00445281"/>
    <w:rsid w:val="0045078F"/>
    <w:rsid w:val="00452DE6"/>
    <w:rsid w:val="00453F92"/>
    <w:rsid w:val="00454805"/>
    <w:rsid w:val="00454946"/>
    <w:rsid w:val="00454DAA"/>
    <w:rsid w:val="00457E75"/>
    <w:rsid w:val="00462D47"/>
    <w:rsid w:val="00465024"/>
    <w:rsid w:val="00465179"/>
    <w:rsid w:val="00465A84"/>
    <w:rsid w:val="00470061"/>
    <w:rsid w:val="00470423"/>
    <w:rsid w:val="00470A6F"/>
    <w:rsid w:val="00471B3B"/>
    <w:rsid w:val="00471CCC"/>
    <w:rsid w:val="00472CEE"/>
    <w:rsid w:val="00474895"/>
    <w:rsid w:val="00477EB1"/>
    <w:rsid w:val="00482558"/>
    <w:rsid w:val="00483DC8"/>
    <w:rsid w:val="00484D87"/>
    <w:rsid w:val="00485F8F"/>
    <w:rsid w:val="00486FAF"/>
    <w:rsid w:val="0048778A"/>
    <w:rsid w:val="0049027A"/>
    <w:rsid w:val="004922E8"/>
    <w:rsid w:val="004925C9"/>
    <w:rsid w:val="00492C81"/>
    <w:rsid w:val="00493116"/>
    <w:rsid w:val="0049429D"/>
    <w:rsid w:val="00495097"/>
    <w:rsid w:val="004A167E"/>
    <w:rsid w:val="004A1C25"/>
    <w:rsid w:val="004A4E97"/>
    <w:rsid w:val="004A6E9F"/>
    <w:rsid w:val="004B001C"/>
    <w:rsid w:val="004B0272"/>
    <w:rsid w:val="004B06DD"/>
    <w:rsid w:val="004B0DEE"/>
    <w:rsid w:val="004B319C"/>
    <w:rsid w:val="004B32CB"/>
    <w:rsid w:val="004B5787"/>
    <w:rsid w:val="004B6A7B"/>
    <w:rsid w:val="004B7044"/>
    <w:rsid w:val="004C02C4"/>
    <w:rsid w:val="004C0892"/>
    <w:rsid w:val="004C12A3"/>
    <w:rsid w:val="004C20B9"/>
    <w:rsid w:val="004C3B9B"/>
    <w:rsid w:val="004C3DF6"/>
    <w:rsid w:val="004C41FA"/>
    <w:rsid w:val="004D00F2"/>
    <w:rsid w:val="004D12CF"/>
    <w:rsid w:val="004D4865"/>
    <w:rsid w:val="004D566F"/>
    <w:rsid w:val="004D5C74"/>
    <w:rsid w:val="004D649C"/>
    <w:rsid w:val="004D7A43"/>
    <w:rsid w:val="004D7AB3"/>
    <w:rsid w:val="004E4BFC"/>
    <w:rsid w:val="004E5CF5"/>
    <w:rsid w:val="004E5F10"/>
    <w:rsid w:val="004E71AC"/>
    <w:rsid w:val="004F008A"/>
    <w:rsid w:val="004F0EDE"/>
    <w:rsid w:val="004F18B2"/>
    <w:rsid w:val="004F37EC"/>
    <w:rsid w:val="004F4D31"/>
    <w:rsid w:val="00500991"/>
    <w:rsid w:val="00500A7F"/>
    <w:rsid w:val="00501488"/>
    <w:rsid w:val="005020CA"/>
    <w:rsid w:val="0050287D"/>
    <w:rsid w:val="00506E08"/>
    <w:rsid w:val="00514F93"/>
    <w:rsid w:val="00515929"/>
    <w:rsid w:val="00516873"/>
    <w:rsid w:val="00517923"/>
    <w:rsid w:val="005205FB"/>
    <w:rsid w:val="0052073C"/>
    <w:rsid w:val="00522474"/>
    <w:rsid w:val="00523F76"/>
    <w:rsid w:val="00524179"/>
    <w:rsid w:val="00524D11"/>
    <w:rsid w:val="00525A13"/>
    <w:rsid w:val="0053091D"/>
    <w:rsid w:val="00530926"/>
    <w:rsid w:val="00532EA7"/>
    <w:rsid w:val="00535EDD"/>
    <w:rsid w:val="00536192"/>
    <w:rsid w:val="0053672E"/>
    <w:rsid w:val="00537BE5"/>
    <w:rsid w:val="00541368"/>
    <w:rsid w:val="00541BC5"/>
    <w:rsid w:val="0054404F"/>
    <w:rsid w:val="00544E7F"/>
    <w:rsid w:val="00545392"/>
    <w:rsid w:val="00545CCB"/>
    <w:rsid w:val="00545DA8"/>
    <w:rsid w:val="005512DA"/>
    <w:rsid w:val="00552AC0"/>
    <w:rsid w:val="00553A65"/>
    <w:rsid w:val="005545A7"/>
    <w:rsid w:val="00556384"/>
    <w:rsid w:val="005569A4"/>
    <w:rsid w:val="0055737B"/>
    <w:rsid w:val="00561ED5"/>
    <w:rsid w:val="0056215E"/>
    <w:rsid w:val="00565775"/>
    <w:rsid w:val="005657A4"/>
    <w:rsid w:val="00565F6D"/>
    <w:rsid w:val="005677BC"/>
    <w:rsid w:val="005701F3"/>
    <w:rsid w:val="00571AC5"/>
    <w:rsid w:val="005720BB"/>
    <w:rsid w:val="00574546"/>
    <w:rsid w:val="005749AC"/>
    <w:rsid w:val="005775CB"/>
    <w:rsid w:val="00580AC4"/>
    <w:rsid w:val="005810B8"/>
    <w:rsid w:val="00584D53"/>
    <w:rsid w:val="005853A6"/>
    <w:rsid w:val="00586CC6"/>
    <w:rsid w:val="00591643"/>
    <w:rsid w:val="00597D25"/>
    <w:rsid w:val="005A06F0"/>
    <w:rsid w:val="005A1D6E"/>
    <w:rsid w:val="005B1019"/>
    <w:rsid w:val="005B176E"/>
    <w:rsid w:val="005B3773"/>
    <w:rsid w:val="005B3B72"/>
    <w:rsid w:val="005B3D0C"/>
    <w:rsid w:val="005B659B"/>
    <w:rsid w:val="005C15E4"/>
    <w:rsid w:val="005C1AF8"/>
    <w:rsid w:val="005C1CA2"/>
    <w:rsid w:val="005C3D0C"/>
    <w:rsid w:val="005C4554"/>
    <w:rsid w:val="005C4E37"/>
    <w:rsid w:val="005C5039"/>
    <w:rsid w:val="005D2E8C"/>
    <w:rsid w:val="005D3115"/>
    <w:rsid w:val="005D704A"/>
    <w:rsid w:val="005E3FF1"/>
    <w:rsid w:val="005E7623"/>
    <w:rsid w:val="005F1D22"/>
    <w:rsid w:val="005F2555"/>
    <w:rsid w:val="005F4143"/>
    <w:rsid w:val="005F5030"/>
    <w:rsid w:val="005F6734"/>
    <w:rsid w:val="005F7904"/>
    <w:rsid w:val="006045AB"/>
    <w:rsid w:val="00604B80"/>
    <w:rsid w:val="00611269"/>
    <w:rsid w:val="00613D39"/>
    <w:rsid w:val="006142B0"/>
    <w:rsid w:val="0061588C"/>
    <w:rsid w:val="006202E0"/>
    <w:rsid w:val="006225BB"/>
    <w:rsid w:val="00623765"/>
    <w:rsid w:val="00624076"/>
    <w:rsid w:val="006248FD"/>
    <w:rsid w:val="006250D2"/>
    <w:rsid w:val="00625AAA"/>
    <w:rsid w:val="006273BA"/>
    <w:rsid w:val="006276CE"/>
    <w:rsid w:val="00632C02"/>
    <w:rsid w:val="006335D2"/>
    <w:rsid w:val="0063365E"/>
    <w:rsid w:val="0063517D"/>
    <w:rsid w:val="006379F2"/>
    <w:rsid w:val="006413B4"/>
    <w:rsid w:val="006414D9"/>
    <w:rsid w:val="00642DBC"/>
    <w:rsid w:val="0064333B"/>
    <w:rsid w:val="00646D1E"/>
    <w:rsid w:val="006470B6"/>
    <w:rsid w:val="006514E5"/>
    <w:rsid w:val="006565E7"/>
    <w:rsid w:val="00662F95"/>
    <w:rsid w:val="00664D62"/>
    <w:rsid w:val="0066550F"/>
    <w:rsid w:val="00672121"/>
    <w:rsid w:val="00675303"/>
    <w:rsid w:val="00675819"/>
    <w:rsid w:val="006770A8"/>
    <w:rsid w:val="00677C50"/>
    <w:rsid w:val="00682C91"/>
    <w:rsid w:val="0068307A"/>
    <w:rsid w:val="00684A5A"/>
    <w:rsid w:val="00684D89"/>
    <w:rsid w:val="00685878"/>
    <w:rsid w:val="00690BB4"/>
    <w:rsid w:val="00692BEA"/>
    <w:rsid w:val="006931C6"/>
    <w:rsid w:val="0069336B"/>
    <w:rsid w:val="00695B41"/>
    <w:rsid w:val="00697E78"/>
    <w:rsid w:val="006A3969"/>
    <w:rsid w:val="006A5109"/>
    <w:rsid w:val="006A574F"/>
    <w:rsid w:val="006A7FF1"/>
    <w:rsid w:val="006B4186"/>
    <w:rsid w:val="006B44E7"/>
    <w:rsid w:val="006B5ADA"/>
    <w:rsid w:val="006B5B23"/>
    <w:rsid w:val="006B705A"/>
    <w:rsid w:val="006B74EB"/>
    <w:rsid w:val="006C0CAA"/>
    <w:rsid w:val="006C1332"/>
    <w:rsid w:val="006C2097"/>
    <w:rsid w:val="006C23C1"/>
    <w:rsid w:val="006C3A5B"/>
    <w:rsid w:val="006C5953"/>
    <w:rsid w:val="006C6A6B"/>
    <w:rsid w:val="006C6DB1"/>
    <w:rsid w:val="006C726F"/>
    <w:rsid w:val="006C7B68"/>
    <w:rsid w:val="006D0917"/>
    <w:rsid w:val="006D09C8"/>
    <w:rsid w:val="006D3308"/>
    <w:rsid w:val="006D3C6F"/>
    <w:rsid w:val="006D533E"/>
    <w:rsid w:val="006D59CF"/>
    <w:rsid w:val="006D6334"/>
    <w:rsid w:val="006D6FF2"/>
    <w:rsid w:val="006E0922"/>
    <w:rsid w:val="006E1B06"/>
    <w:rsid w:val="006E22BC"/>
    <w:rsid w:val="006E2C06"/>
    <w:rsid w:val="006E3ECC"/>
    <w:rsid w:val="006E54C5"/>
    <w:rsid w:val="006E6785"/>
    <w:rsid w:val="006E7F12"/>
    <w:rsid w:val="006F3092"/>
    <w:rsid w:val="006F3E3C"/>
    <w:rsid w:val="006F3FB9"/>
    <w:rsid w:val="006F4BF5"/>
    <w:rsid w:val="006F5559"/>
    <w:rsid w:val="006F76BF"/>
    <w:rsid w:val="007009E4"/>
    <w:rsid w:val="00700CBD"/>
    <w:rsid w:val="0070510D"/>
    <w:rsid w:val="00707AEA"/>
    <w:rsid w:val="007102C2"/>
    <w:rsid w:val="00711068"/>
    <w:rsid w:val="007135BD"/>
    <w:rsid w:val="00713E7A"/>
    <w:rsid w:val="00714749"/>
    <w:rsid w:val="00715170"/>
    <w:rsid w:val="00716042"/>
    <w:rsid w:val="007216AB"/>
    <w:rsid w:val="00723A66"/>
    <w:rsid w:val="00725AEA"/>
    <w:rsid w:val="0072627A"/>
    <w:rsid w:val="007310AB"/>
    <w:rsid w:val="00731560"/>
    <w:rsid w:val="00731CC0"/>
    <w:rsid w:val="00732D1B"/>
    <w:rsid w:val="0073525C"/>
    <w:rsid w:val="007355BC"/>
    <w:rsid w:val="0073634F"/>
    <w:rsid w:val="007378C4"/>
    <w:rsid w:val="0074057F"/>
    <w:rsid w:val="00742E02"/>
    <w:rsid w:val="0074619B"/>
    <w:rsid w:val="00747E5E"/>
    <w:rsid w:val="00754868"/>
    <w:rsid w:val="007554D4"/>
    <w:rsid w:val="0075731D"/>
    <w:rsid w:val="00763210"/>
    <w:rsid w:val="007632EB"/>
    <w:rsid w:val="00766739"/>
    <w:rsid w:val="007764CC"/>
    <w:rsid w:val="00777BC3"/>
    <w:rsid w:val="00781511"/>
    <w:rsid w:val="00784A0E"/>
    <w:rsid w:val="00784F81"/>
    <w:rsid w:val="00785A95"/>
    <w:rsid w:val="00786346"/>
    <w:rsid w:val="00787251"/>
    <w:rsid w:val="0079009E"/>
    <w:rsid w:val="007910F5"/>
    <w:rsid w:val="00792DDF"/>
    <w:rsid w:val="00794F5E"/>
    <w:rsid w:val="007950A2"/>
    <w:rsid w:val="0079553D"/>
    <w:rsid w:val="007962F7"/>
    <w:rsid w:val="007A6F07"/>
    <w:rsid w:val="007A7B45"/>
    <w:rsid w:val="007A7F02"/>
    <w:rsid w:val="007B0943"/>
    <w:rsid w:val="007B1F04"/>
    <w:rsid w:val="007B21BD"/>
    <w:rsid w:val="007B4279"/>
    <w:rsid w:val="007B4CD2"/>
    <w:rsid w:val="007B5381"/>
    <w:rsid w:val="007B61E8"/>
    <w:rsid w:val="007B7DD8"/>
    <w:rsid w:val="007C078D"/>
    <w:rsid w:val="007C08A1"/>
    <w:rsid w:val="007C3B26"/>
    <w:rsid w:val="007C3C40"/>
    <w:rsid w:val="007C3FAF"/>
    <w:rsid w:val="007C4D63"/>
    <w:rsid w:val="007C53AC"/>
    <w:rsid w:val="007C6677"/>
    <w:rsid w:val="007D00B1"/>
    <w:rsid w:val="007E03DB"/>
    <w:rsid w:val="007E0D40"/>
    <w:rsid w:val="007E0D51"/>
    <w:rsid w:val="007E1AD5"/>
    <w:rsid w:val="007E2A50"/>
    <w:rsid w:val="007E4C58"/>
    <w:rsid w:val="007E4EA1"/>
    <w:rsid w:val="007E7390"/>
    <w:rsid w:val="007F2699"/>
    <w:rsid w:val="007F6A37"/>
    <w:rsid w:val="007F6EBF"/>
    <w:rsid w:val="00800F90"/>
    <w:rsid w:val="00806504"/>
    <w:rsid w:val="00806A97"/>
    <w:rsid w:val="00806AFA"/>
    <w:rsid w:val="00807296"/>
    <w:rsid w:val="0081004A"/>
    <w:rsid w:val="00811CCA"/>
    <w:rsid w:val="0081440A"/>
    <w:rsid w:val="008145D6"/>
    <w:rsid w:val="00820650"/>
    <w:rsid w:val="00820BC6"/>
    <w:rsid w:val="00822620"/>
    <w:rsid w:val="00822CA3"/>
    <w:rsid w:val="008300F3"/>
    <w:rsid w:val="00830161"/>
    <w:rsid w:val="0083087C"/>
    <w:rsid w:val="0083333E"/>
    <w:rsid w:val="008339E0"/>
    <w:rsid w:val="00833BC7"/>
    <w:rsid w:val="00834725"/>
    <w:rsid w:val="00837248"/>
    <w:rsid w:val="0084281D"/>
    <w:rsid w:val="008431A2"/>
    <w:rsid w:val="0085190E"/>
    <w:rsid w:val="00853711"/>
    <w:rsid w:val="008549D3"/>
    <w:rsid w:val="00855197"/>
    <w:rsid w:val="00857F15"/>
    <w:rsid w:val="00861618"/>
    <w:rsid w:val="00861C7B"/>
    <w:rsid w:val="00862067"/>
    <w:rsid w:val="00863757"/>
    <w:rsid w:val="00863E85"/>
    <w:rsid w:val="008663F9"/>
    <w:rsid w:val="00872B18"/>
    <w:rsid w:val="008756A7"/>
    <w:rsid w:val="00877555"/>
    <w:rsid w:val="00881722"/>
    <w:rsid w:val="00882588"/>
    <w:rsid w:val="008832AA"/>
    <w:rsid w:val="008839FC"/>
    <w:rsid w:val="00885EED"/>
    <w:rsid w:val="00887667"/>
    <w:rsid w:val="00890603"/>
    <w:rsid w:val="008909FC"/>
    <w:rsid w:val="00890EF2"/>
    <w:rsid w:val="00891632"/>
    <w:rsid w:val="00891E87"/>
    <w:rsid w:val="008954EA"/>
    <w:rsid w:val="00896B63"/>
    <w:rsid w:val="008A0812"/>
    <w:rsid w:val="008A23C3"/>
    <w:rsid w:val="008A3AE1"/>
    <w:rsid w:val="008A4311"/>
    <w:rsid w:val="008A54C9"/>
    <w:rsid w:val="008A7C89"/>
    <w:rsid w:val="008B296C"/>
    <w:rsid w:val="008B5C34"/>
    <w:rsid w:val="008B6A57"/>
    <w:rsid w:val="008B6E4A"/>
    <w:rsid w:val="008B79EB"/>
    <w:rsid w:val="008C111C"/>
    <w:rsid w:val="008D3364"/>
    <w:rsid w:val="008D40E4"/>
    <w:rsid w:val="008D4BD5"/>
    <w:rsid w:val="008D680C"/>
    <w:rsid w:val="008E1CB7"/>
    <w:rsid w:val="008E3688"/>
    <w:rsid w:val="008E3718"/>
    <w:rsid w:val="008E3751"/>
    <w:rsid w:val="008E5D09"/>
    <w:rsid w:val="008F0791"/>
    <w:rsid w:val="008F092B"/>
    <w:rsid w:val="008F222D"/>
    <w:rsid w:val="008F4539"/>
    <w:rsid w:val="008F4C71"/>
    <w:rsid w:val="008F61D2"/>
    <w:rsid w:val="008F7ED2"/>
    <w:rsid w:val="00902258"/>
    <w:rsid w:val="00902DF4"/>
    <w:rsid w:val="00902DF8"/>
    <w:rsid w:val="00903E18"/>
    <w:rsid w:val="009044EF"/>
    <w:rsid w:val="00905B0F"/>
    <w:rsid w:val="00907A90"/>
    <w:rsid w:val="009112DF"/>
    <w:rsid w:val="00913F4D"/>
    <w:rsid w:val="00914382"/>
    <w:rsid w:val="009158A5"/>
    <w:rsid w:val="009177E8"/>
    <w:rsid w:val="00917A0E"/>
    <w:rsid w:val="009239A3"/>
    <w:rsid w:val="009259DF"/>
    <w:rsid w:val="009324E0"/>
    <w:rsid w:val="00934E7E"/>
    <w:rsid w:val="00935467"/>
    <w:rsid w:val="00936618"/>
    <w:rsid w:val="009369A5"/>
    <w:rsid w:val="00940528"/>
    <w:rsid w:val="00940A4F"/>
    <w:rsid w:val="0094416B"/>
    <w:rsid w:val="00945DA8"/>
    <w:rsid w:val="00946844"/>
    <w:rsid w:val="00950CF6"/>
    <w:rsid w:val="00951ABA"/>
    <w:rsid w:val="009528B9"/>
    <w:rsid w:val="0095374B"/>
    <w:rsid w:val="00953A3D"/>
    <w:rsid w:val="00953C57"/>
    <w:rsid w:val="009560D0"/>
    <w:rsid w:val="00960FA3"/>
    <w:rsid w:val="009641EE"/>
    <w:rsid w:val="00966403"/>
    <w:rsid w:val="009672F6"/>
    <w:rsid w:val="00970E1E"/>
    <w:rsid w:val="00971C5F"/>
    <w:rsid w:val="0097223E"/>
    <w:rsid w:val="00972961"/>
    <w:rsid w:val="00974AB1"/>
    <w:rsid w:val="0097534E"/>
    <w:rsid w:val="00980262"/>
    <w:rsid w:val="00981339"/>
    <w:rsid w:val="00982D1E"/>
    <w:rsid w:val="009841FD"/>
    <w:rsid w:val="00984ED3"/>
    <w:rsid w:val="00986510"/>
    <w:rsid w:val="00992604"/>
    <w:rsid w:val="00994E3A"/>
    <w:rsid w:val="00996108"/>
    <w:rsid w:val="00997EA2"/>
    <w:rsid w:val="009A23CD"/>
    <w:rsid w:val="009A23DC"/>
    <w:rsid w:val="009A24EC"/>
    <w:rsid w:val="009A2693"/>
    <w:rsid w:val="009A4F4C"/>
    <w:rsid w:val="009A6546"/>
    <w:rsid w:val="009A6C8B"/>
    <w:rsid w:val="009A767D"/>
    <w:rsid w:val="009A7D44"/>
    <w:rsid w:val="009B058F"/>
    <w:rsid w:val="009B2E3E"/>
    <w:rsid w:val="009B5210"/>
    <w:rsid w:val="009B5883"/>
    <w:rsid w:val="009B615B"/>
    <w:rsid w:val="009B6F52"/>
    <w:rsid w:val="009C43A3"/>
    <w:rsid w:val="009C4456"/>
    <w:rsid w:val="009C4A68"/>
    <w:rsid w:val="009C56D8"/>
    <w:rsid w:val="009C578F"/>
    <w:rsid w:val="009C57B7"/>
    <w:rsid w:val="009C58C2"/>
    <w:rsid w:val="009D195E"/>
    <w:rsid w:val="009D1ED3"/>
    <w:rsid w:val="009D20DF"/>
    <w:rsid w:val="009D2126"/>
    <w:rsid w:val="009D4AC7"/>
    <w:rsid w:val="009D66ED"/>
    <w:rsid w:val="009D71E3"/>
    <w:rsid w:val="009E22DA"/>
    <w:rsid w:val="009F159A"/>
    <w:rsid w:val="009F19A9"/>
    <w:rsid w:val="009F3A73"/>
    <w:rsid w:val="009F4234"/>
    <w:rsid w:val="00A023EB"/>
    <w:rsid w:val="00A0607D"/>
    <w:rsid w:val="00A07DD6"/>
    <w:rsid w:val="00A10906"/>
    <w:rsid w:val="00A125C7"/>
    <w:rsid w:val="00A131EC"/>
    <w:rsid w:val="00A13F0A"/>
    <w:rsid w:val="00A15141"/>
    <w:rsid w:val="00A20606"/>
    <w:rsid w:val="00A225A9"/>
    <w:rsid w:val="00A23101"/>
    <w:rsid w:val="00A247C8"/>
    <w:rsid w:val="00A25354"/>
    <w:rsid w:val="00A26A48"/>
    <w:rsid w:val="00A27B2C"/>
    <w:rsid w:val="00A27DE3"/>
    <w:rsid w:val="00A30473"/>
    <w:rsid w:val="00A328F6"/>
    <w:rsid w:val="00A33F93"/>
    <w:rsid w:val="00A346C7"/>
    <w:rsid w:val="00A35EBE"/>
    <w:rsid w:val="00A37CE5"/>
    <w:rsid w:val="00A4289D"/>
    <w:rsid w:val="00A42A55"/>
    <w:rsid w:val="00A43813"/>
    <w:rsid w:val="00A44271"/>
    <w:rsid w:val="00A442BB"/>
    <w:rsid w:val="00A44F1E"/>
    <w:rsid w:val="00A50DA4"/>
    <w:rsid w:val="00A51704"/>
    <w:rsid w:val="00A5522D"/>
    <w:rsid w:val="00A553B2"/>
    <w:rsid w:val="00A55AE0"/>
    <w:rsid w:val="00A56CC5"/>
    <w:rsid w:val="00A57C34"/>
    <w:rsid w:val="00A60207"/>
    <w:rsid w:val="00A60D94"/>
    <w:rsid w:val="00A62603"/>
    <w:rsid w:val="00A659C6"/>
    <w:rsid w:val="00A67030"/>
    <w:rsid w:val="00A67870"/>
    <w:rsid w:val="00A67B76"/>
    <w:rsid w:val="00A67D07"/>
    <w:rsid w:val="00A67D59"/>
    <w:rsid w:val="00A71B20"/>
    <w:rsid w:val="00A73416"/>
    <w:rsid w:val="00A73C28"/>
    <w:rsid w:val="00A74B66"/>
    <w:rsid w:val="00A76250"/>
    <w:rsid w:val="00A82242"/>
    <w:rsid w:val="00A82C7E"/>
    <w:rsid w:val="00A84DAB"/>
    <w:rsid w:val="00A86C1F"/>
    <w:rsid w:val="00A907CA"/>
    <w:rsid w:val="00A91BB7"/>
    <w:rsid w:val="00AA0DF3"/>
    <w:rsid w:val="00AA10EC"/>
    <w:rsid w:val="00AA16AE"/>
    <w:rsid w:val="00AB0210"/>
    <w:rsid w:val="00AB1F55"/>
    <w:rsid w:val="00AB2937"/>
    <w:rsid w:val="00AB3614"/>
    <w:rsid w:val="00AB5795"/>
    <w:rsid w:val="00AB589B"/>
    <w:rsid w:val="00AB675A"/>
    <w:rsid w:val="00AB6C30"/>
    <w:rsid w:val="00AC0582"/>
    <w:rsid w:val="00AC0A48"/>
    <w:rsid w:val="00AC0D52"/>
    <w:rsid w:val="00AC2C30"/>
    <w:rsid w:val="00AC4B8F"/>
    <w:rsid w:val="00AC5B53"/>
    <w:rsid w:val="00AC60B0"/>
    <w:rsid w:val="00AC7AA7"/>
    <w:rsid w:val="00AC7C60"/>
    <w:rsid w:val="00AD180D"/>
    <w:rsid w:val="00AD1A27"/>
    <w:rsid w:val="00AD37A5"/>
    <w:rsid w:val="00AD4341"/>
    <w:rsid w:val="00AD48D0"/>
    <w:rsid w:val="00AD5CD3"/>
    <w:rsid w:val="00AD68E8"/>
    <w:rsid w:val="00AE02AD"/>
    <w:rsid w:val="00AE3159"/>
    <w:rsid w:val="00AE3A1C"/>
    <w:rsid w:val="00AE4A29"/>
    <w:rsid w:val="00AE688F"/>
    <w:rsid w:val="00AE7026"/>
    <w:rsid w:val="00AF2068"/>
    <w:rsid w:val="00AF368F"/>
    <w:rsid w:val="00AF4B65"/>
    <w:rsid w:val="00AF53E4"/>
    <w:rsid w:val="00AF5B9A"/>
    <w:rsid w:val="00AF7F75"/>
    <w:rsid w:val="00B0146C"/>
    <w:rsid w:val="00B03D7C"/>
    <w:rsid w:val="00B06803"/>
    <w:rsid w:val="00B06B7B"/>
    <w:rsid w:val="00B10ED0"/>
    <w:rsid w:val="00B1157C"/>
    <w:rsid w:val="00B11B83"/>
    <w:rsid w:val="00B13231"/>
    <w:rsid w:val="00B157D1"/>
    <w:rsid w:val="00B17B13"/>
    <w:rsid w:val="00B17EB1"/>
    <w:rsid w:val="00B20A6C"/>
    <w:rsid w:val="00B23041"/>
    <w:rsid w:val="00B2531B"/>
    <w:rsid w:val="00B25A94"/>
    <w:rsid w:val="00B327BB"/>
    <w:rsid w:val="00B36281"/>
    <w:rsid w:val="00B366F6"/>
    <w:rsid w:val="00B36B3C"/>
    <w:rsid w:val="00B36E36"/>
    <w:rsid w:val="00B37B9F"/>
    <w:rsid w:val="00B40C2E"/>
    <w:rsid w:val="00B40C60"/>
    <w:rsid w:val="00B434FD"/>
    <w:rsid w:val="00B52F86"/>
    <w:rsid w:val="00B5539D"/>
    <w:rsid w:val="00B55705"/>
    <w:rsid w:val="00B5595D"/>
    <w:rsid w:val="00B61D36"/>
    <w:rsid w:val="00B6479B"/>
    <w:rsid w:val="00B71732"/>
    <w:rsid w:val="00B730D8"/>
    <w:rsid w:val="00B75B38"/>
    <w:rsid w:val="00B76C53"/>
    <w:rsid w:val="00B83367"/>
    <w:rsid w:val="00B844C1"/>
    <w:rsid w:val="00B872E7"/>
    <w:rsid w:val="00B904F6"/>
    <w:rsid w:val="00B91CE7"/>
    <w:rsid w:val="00B94413"/>
    <w:rsid w:val="00B94E40"/>
    <w:rsid w:val="00B957B2"/>
    <w:rsid w:val="00B9681C"/>
    <w:rsid w:val="00BA02C3"/>
    <w:rsid w:val="00BA0B68"/>
    <w:rsid w:val="00BA1592"/>
    <w:rsid w:val="00BA4A59"/>
    <w:rsid w:val="00BA4CD7"/>
    <w:rsid w:val="00BA79FC"/>
    <w:rsid w:val="00BB0879"/>
    <w:rsid w:val="00BB25C4"/>
    <w:rsid w:val="00BB2A19"/>
    <w:rsid w:val="00BB4E56"/>
    <w:rsid w:val="00BB504A"/>
    <w:rsid w:val="00BB6F84"/>
    <w:rsid w:val="00BC316B"/>
    <w:rsid w:val="00BD1C25"/>
    <w:rsid w:val="00BD222F"/>
    <w:rsid w:val="00BD5106"/>
    <w:rsid w:val="00BD6ED5"/>
    <w:rsid w:val="00BD7820"/>
    <w:rsid w:val="00BE01F5"/>
    <w:rsid w:val="00BE0F77"/>
    <w:rsid w:val="00BE2A43"/>
    <w:rsid w:val="00BE318F"/>
    <w:rsid w:val="00BE3A82"/>
    <w:rsid w:val="00BE5C4D"/>
    <w:rsid w:val="00BE65B8"/>
    <w:rsid w:val="00BE6CB0"/>
    <w:rsid w:val="00BE739B"/>
    <w:rsid w:val="00BE750C"/>
    <w:rsid w:val="00BF18F2"/>
    <w:rsid w:val="00BF45B7"/>
    <w:rsid w:val="00BF6359"/>
    <w:rsid w:val="00BF76A4"/>
    <w:rsid w:val="00C00163"/>
    <w:rsid w:val="00C0371A"/>
    <w:rsid w:val="00C05078"/>
    <w:rsid w:val="00C076AF"/>
    <w:rsid w:val="00C10554"/>
    <w:rsid w:val="00C1078A"/>
    <w:rsid w:val="00C11202"/>
    <w:rsid w:val="00C12FF0"/>
    <w:rsid w:val="00C135A6"/>
    <w:rsid w:val="00C17776"/>
    <w:rsid w:val="00C2039D"/>
    <w:rsid w:val="00C20B40"/>
    <w:rsid w:val="00C21436"/>
    <w:rsid w:val="00C216A1"/>
    <w:rsid w:val="00C22D6B"/>
    <w:rsid w:val="00C22EFC"/>
    <w:rsid w:val="00C232FA"/>
    <w:rsid w:val="00C23427"/>
    <w:rsid w:val="00C253E0"/>
    <w:rsid w:val="00C263FB"/>
    <w:rsid w:val="00C303A0"/>
    <w:rsid w:val="00C3116E"/>
    <w:rsid w:val="00C31AA0"/>
    <w:rsid w:val="00C3221B"/>
    <w:rsid w:val="00C32327"/>
    <w:rsid w:val="00C35963"/>
    <w:rsid w:val="00C36027"/>
    <w:rsid w:val="00C40661"/>
    <w:rsid w:val="00C471C9"/>
    <w:rsid w:val="00C47955"/>
    <w:rsid w:val="00C52FD9"/>
    <w:rsid w:val="00C539CA"/>
    <w:rsid w:val="00C543B5"/>
    <w:rsid w:val="00C6231F"/>
    <w:rsid w:val="00C62A5C"/>
    <w:rsid w:val="00C6440A"/>
    <w:rsid w:val="00C71231"/>
    <w:rsid w:val="00C72773"/>
    <w:rsid w:val="00C73A68"/>
    <w:rsid w:val="00C74A80"/>
    <w:rsid w:val="00C7579D"/>
    <w:rsid w:val="00C757F1"/>
    <w:rsid w:val="00C763B0"/>
    <w:rsid w:val="00C76B64"/>
    <w:rsid w:val="00C76EA0"/>
    <w:rsid w:val="00C8016E"/>
    <w:rsid w:val="00C8252B"/>
    <w:rsid w:val="00C84779"/>
    <w:rsid w:val="00C84799"/>
    <w:rsid w:val="00C84E69"/>
    <w:rsid w:val="00C857EE"/>
    <w:rsid w:val="00C92DD3"/>
    <w:rsid w:val="00C93054"/>
    <w:rsid w:val="00C96895"/>
    <w:rsid w:val="00C97EF2"/>
    <w:rsid w:val="00CA0D44"/>
    <w:rsid w:val="00CA25BF"/>
    <w:rsid w:val="00CA4E7C"/>
    <w:rsid w:val="00CA50BA"/>
    <w:rsid w:val="00CA5670"/>
    <w:rsid w:val="00CA6913"/>
    <w:rsid w:val="00CA6F84"/>
    <w:rsid w:val="00CA78C2"/>
    <w:rsid w:val="00CB148D"/>
    <w:rsid w:val="00CB2167"/>
    <w:rsid w:val="00CB428F"/>
    <w:rsid w:val="00CB7AD9"/>
    <w:rsid w:val="00CB7D76"/>
    <w:rsid w:val="00CC08ED"/>
    <w:rsid w:val="00CC3132"/>
    <w:rsid w:val="00CC32DE"/>
    <w:rsid w:val="00CC552E"/>
    <w:rsid w:val="00CD0662"/>
    <w:rsid w:val="00CD2BE0"/>
    <w:rsid w:val="00CD385D"/>
    <w:rsid w:val="00CD56CF"/>
    <w:rsid w:val="00CD6F1D"/>
    <w:rsid w:val="00CD6F4A"/>
    <w:rsid w:val="00CE00F2"/>
    <w:rsid w:val="00CE50DC"/>
    <w:rsid w:val="00CE55F8"/>
    <w:rsid w:val="00CE6175"/>
    <w:rsid w:val="00CF022B"/>
    <w:rsid w:val="00CF17FE"/>
    <w:rsid w:val="00CF1CC3"/>
    <w:rsid w:val="00CF3667"/>
    <w:rsid w:val="00CF3C0C"/>
    <w:rsid w:val="00CF4974"/>
    <w:rsid w:val="00CF4EFD"/>
    <w:rsid w:val="00D02143"/>
    <w:rsid w:val="00D03556"/>
    <w:rsid w:val="00D12ED9"/>
    <w:rsid w:val="00D13135"/>
    <w:rsid w:val="00D14B87"/>
    <w:rsid w:val="00D1670B"/>
    <w:rsid w:val="00D20A26"/>
    <w:rsid w:val="00D212B3"/>
    <w:rsid w:val="00D22143"/>
    <w:rsid w:val="00D23796"/>
    <w:rsid w:val="00D23BF3"/>
    <w:rsid w:val="00D26D8B"/>
    <w:rsid w:val="00D26E20"/>
    <w:rsid w:val="00D30E98"/>
    <w:rsid w:val="00D31C11"/>
    <w:rsid w:val="00D31DD7"/>
    <w:rsid w:val="00D32A17"/>
    <w:rsid w:val="00D32C6A"/>
    <w:rsid w:val="00D3327B"/>
    <w:rsid w:val="00D34A21"/>
    <w:rsid w:val="00D36EB7"/>
    <w:rsid w:val="00D37AAC"/>
    <w:rsid w:val="00D40586"/>
    <w:rsid w:val="00D4202B"/>
    <w:rsid w:val="00D42068"/>
    <w:rsid w:val="00D43A04"/>
    <w:rsid w:val="00D44DAC"/>
    <w:rsid w:val="00D453B9"/>
    <w:rsid w:val="00D46211"/>
    <w:rsid w:val="00D50166"/>
    <w:rsid w:val="00D501D6"/>
    <w:rsid w:val="00D506FA"/>
    <w:rsid w:val="00D51904"/>
    <w:rsid w:val="00D51ADF"/>
    <w:rsid w:val="00D54FF9"/>
    <w:rsid w:val="00D563BA"/>
    <w:rsid w:val="00D566C5"/>
    <w:rsid w:val="00D56D21"/>
    <w:rsid w:val="00D5747E"/>
    <w:rsid w:val="00D60E81"/>
    <w:rsid w:val="00D60FC7"/>
    <w:rsid w:val="00D6120C"/>
    <w:rsid w:val="00D723D0"/>
    <w:rsid w:val="00D74112"/>
    <w:rsid w:val="00D7612E"/>
    <w:rsid w:val="00D76CF3"/>
    <w:rsid w:val="00D80F88"/>
    <w:rsid w:val="00D85844"/>
    <w:rsid w:val="00D86E72"/>
    <w:rsid w:val="00D91D39"/>
    <w:rsid w:val="00D91E0F"/>
    <w:rsid w:val="00D92EAD"/>
    <w:rsid w:val="00D93793"/>
    <w:rsid w:val="00D93A44"/>
    <w:rsid w:val="00D94D70"/>
    <w:rsid w:val="00D96C87"/>
    <w:rsid w:val="00D97706"/>
    <w:rsid w:val="00DA2CFC"/>
    <w:rsid w:val="00DA43F5"/>
    <w:rsid w:val="00DA6C8F"/>
    <w:rsid w:val="00DB08A6"/>
    <w:rsid w:val="00DB2100"/>
    <w:rsid w:val="00DB3CAF"/>
    <w:rsid w:val="00DB5352"/>
    <w:rsid w:val="00DB773C"/>
    <w:rsid w:val="00DC3141"/>
    <w:rsid w:val="00DC37FB"/>
    <w:rsid w:val="00DC5700"/>
    <w:rsid w:val="00DD03D8"/>
    <w:rsid w:val="00DD346B"/>
    <w:rsid w:val="00DD3901"/>
    <w:rsid w:val="00DD45AE"/>
    <w:rsid w:val="00DD7998"/>
    <w:rsid w:val="00DD7AC7"/>
    <w:rsid w:val="00DE0D66"/>
    <w:rsid w:val="00DE1EFE"/>
    <w:rsid w:val="00DE2F2C"/>
    <w:rsid w:val="00DE39BC"/>
    <w:rsid w:val="00DE52E2"/>
    <w:rsid w:val="00DE663B"/>
    <w:rsid w:val="00DF028D"/>
    <w:rsid w:val="00DF49EA"/>
    <w:rsid w:val="00DF60E7"/>
    <w:rsid w:val="00DF6F7F"/>
    <w:rsid w:val="00DF6FDB"/>
    <w:rsid w:val="00DF7400"/>
    <w:rsid w:val="00DF7D62"/>
    <w:rsid w:val="00E02A73"/>
    <w:rsid w:val="00E02F56"/>
    <w:rsid w:val="00E06ED6"/>
    <w:rsid w:val="00E070EF"/>
    <w:rsid w:val="00E144F1"/>
    <w:rsid w:val="00E15AAD"/>
    <w:rsid w:val="00E17995"/>
    <w:rsid w:val="00E17DE9"/>
    <w:rsid w:val="00E210FA"/>
    <w:rsid w:val="00E2176D"/>
    <w:rsid w:val="00E22478"/>
    <w:rsid w:val="00E226A7"/>
    <w:rsid w:val="00E24227"/>
    <w:rsid w:val="00E25EF6"/>
    <w:rsid w:val="00E2711E"/>
    <w:rsid w:val="00E30C94"/>
    <w:rsid w:val="00E3105E"/>
    <w:rsid w:val="00E3260F"/>
    <w:rsid w:val="00E36AF6"/>
    <w:rsid w:val="00E40985"/>
    <w:rsid w:val="00E442FF"/>
    <w:rsid w:val="00E46EA4"/>
    <w:rsid w:val="00E46FE2"/>
    <w:rsid w:val="00E52DE5"/>
    <w:rsid w:val="00E5435A"/>
    <w:rsid w:val="00E5562B"/>
    <w:rsid w:val="00E57641"/>
    <w:rsid w:val="00E57B0A"/>
    <w:rsid w:val="00E60612"/>
    <w:rsid w:val="00E61802"/>
    <w:rsid w:val="00E70790"/>
    <w:rsid w:val="00E72243"/>
    <w:rsid w:val="00E758B3"/>
    <w:rsid w:val="00E75CF1"/>
    <w:rsid w:val="00E77E78"/>
    <w:rsid w:val="00E8092F"/>
    <w:rsid w:val="00E837CD"/>
    <w:rsid w:val="00E85395"/>
    <w:rsid w:val="00E910B6"/>
    <w:rsid w:val="00E912AD"/>
    <w:rsid w:val="00E913FE"/>
    <w:rsid w:val="00E91E07"/>
    <w:rsid w:val="00E932E6"/>
    <w:rsid w:val="00E9339A"/>
    <w:rsid w:val="00E939A6"/>
    <w:rsid w:val="00E958A6"/>
    <w:rsid w:val="00EA13D3"/>
    <w:rsid w:val="00EA7119"/>
    <w:rsid w:val="00EB268B"/>
    <w:rsid w:val="00EB4916"/>
    <w:rsid w:val="00EB509D"/>
    <w:rsid w:val="00EB7467"/>
    <w:rsid w:val="00EB7C65"/>
    <w:rsid w:val="00EC1BB0"/>
    <w:rsid w:val="00EC2610"/>
    <w:rsid w:val="00EC3BD6"/>
    <w:rsid w:val="00EC4094"/>
    <w:rsid w:val="00EC4A71"/>
    <w:rsid w:val="00ED0B55"/>
    <w:rsid w:val="00ED1E9D"/>
    <w:rsid w:val="00ED2236"/>
    <w:rsid w:val="00ED3324"/>
    <w:rsid w:val="00ED4B49"/>
    <w:rsid w:val="00ED5773"/>
    <w:rsid w:val="00ED5F87"/>
    <w:rsid w:val="00ED658B"/>
    <w:rsid w:val="00ED6A44"/>
    <w:rsid w:val="00ED6E76"/>
    <w:rsid w:val="00ED7B76"/>
    <w:rsid w:val="00ED7EA1"/>
    <w:rsid w:val="00EE219A"/>
    <w:rsid w:val="00EE2B49"/>
    <w:rsid w:val="00EE2B99"/>
    <w:rsid w:val="00EE48D9"/>
    <w:rsid w:val="00EE4BEC"/>
    <w:rsid w:val="00EF16EC"/>
    <w:rsid w:val="00EF5EA5"/>
    <w:rsid w:val="00EF64D4"/>
    <w:rsid w:val="00EF6D73"/>
    <w:rsid w:val="00F0034A"/>
    <w:rsid w:val="00F032D4"/>
    <w:rsid w:val="00F03CFC"/>
    <w:rsid w:val="00F05F83"/>
    <w:rsid w:val="00F072E7"/>
    <w:rsid w:val="00F07EF9"/>
    <w:rsid w:val="00F1094A"/>
    <w:rsid w:val="00F10B3C"/>
    <w:rsid w:val="00F11360"/>
    <w:rsid w:val="00F11BE4"/>
    <w:rsid w:val="00F1560F"/>
    <w:rsid w:val="00F179A0"/>
    <w:rsid w:val="00F2381B"/>
    <w:rsid w:val="00F23902"/>
    <w:rsid w:val="00F23DD3"/>
    <w:rsid w:val="00F2442F"/>
    <w:rsid w:val="00F24B10"/>
    <w:rsid w:val="00F2752C"/>
    <w:rsid w:val="00F329CA"/>
    <w:rsid w:val="00F3453E"/>
    <w:rsid w:val="00F36EE0"/>
    <w:rsid w:val="00F41B0D"/>
    <w:rsid w:val="00F41DFF"/>
    <w:rsid w:val="00F42259"/>
    <w:rsid w:val="00F42EEE"/>
    <w:rsid w:val="00F452A1"/>
    <w:rsid w:val="00F4541A"/>
    <w:rsid w:val="00F45545"/>
    <w:rsid w:val="00F469F4"/>
    <w:rsid w:val="00F4759A"/>
    <w:rsid w:val="00F50770"/>
    <w:rsid w:val="00F509B6"/>
    <w:rsid w:val="00F515CF"/>
    <w:rsid w:val="00F547F3"/>
    <w:rsid w:val="00F561F9"/>
    <w:rsid w:val="00F5639B"/>
    <w:rsid w:val="00F6015D"/>
    <w:rsid w:val="00F63AFC"/>
    <w:rsid w:val="00F645AD"/>
    <w:rsid w:val="00F66217"/>
    <w:rsid w:val="00F67E9C"/>
    <w:rsid w:val="00F725B3"/>
    <w:rsid w:val="00F728C4"/>
    <w:rsid w:val="00F72EAA"/>
    <w:rsid w:val="00F73389"/>
    <w:rsid w:val="00F740C2"/>
    <w:rsid w:val="00F7505D"/>
    <w:rsid w:val="00F75E0E"/>
    <w:rsid w:val="00F766EB"/>
    <w:rsid w:val="00F80054"/>
    <w:rsid w:val="00F81A08"/>
    <w:rsid w:val="00F8234B"/>
    <w:rsid w:val="00F82820"/>
    <w:rsid w:val="00F83C16"/>
    <w:rsid w:val="00F84AD6"/>
    <w:rsid w:val="00F84B8E"/>
    <w:rsid w:val="00F861F9"/>
    <w:rsid w:val="00F86681"/>
    <w:rsid w:val="00F9138E"/>
    <w:rsid w:val="00F91BF7"/>
    <w:rsid w:val="00F9297C"/>
    <w:rsid w:val="00F975AC"/>
    <w:rsid w:val="00FA2BD6"/>
    <w:rsid w:val="00FA2F5B"/>
    <w:rsid w:val="00FA3C5E"/>
    <w:rsid w:val="00FA4CEA"/>
    <w:rsid w:val="00FA50B8"/>
    <w:rsid w:val="00FA58FD"/>
    <w:rsid w:val="00FA5936"/>
    <w:rsid w:val="00FA6856"/>
    <w:rsid w:val="00FA71FD"/>
    <w:rsid w:val="00FB222F"/>
    <w:rsid w:val="00FB4B9F"/>
    <w:rsid w:val="00FB6792"/>
    <w:rsid w:val="00FB7483"/>
    <w:rsid w:val="00FC1703"/>
    <w:rsid w:val="00FC1743"/>
    <w:rsid w:val="00FC2190"/>
    <w:rsid w:val="00FC219F"/>
    <w:rsid w:val="00FC2B49"/>
    <w:rsid w:val="00FC7716"/>
    <w:rsid w:val="00FD6119"/>
    <w:rsid w:val="00FD67DC"/>
    <w:rsid w:val="00FE0B8F"/>
    <w:rsid w:val="00FE104E"/>
    <w:rsid w:val="00FE1652"/>
    <w:rsid w:val="00FE30F5"/>
    <w:rsid w:val="00FE3951"/>
    <w:rsid w:val="00FE4109"/>
    <w:rsid w:val="00FF1BB2"/>
    <w:rsid w:val="00FF3DA3"/>
    <w:rsid w:val="00FF3DE6"/>
    <w:rsid w:val="00FF54C4"/>
    <w:rsid w:val="00FF6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EAD"/>
  </w:style>
  <w:style w:type="paragraph" w:styleId="Heading1">
    <w:name w:val="heading 1"/>
    <w:basedOn w:val="Normal"/>
    <w:next w:val="Normal"/>
    <w:qFormat/>
    <w:rsid w:val="00D92EAD"/>
    <w:pPr>
      <w:keepNext/>
      <w:jc w:val="center"/>
      <w:outlineLvl w:val="0"/>
    </w:pPr>
    <w:rPr>
      <w:rFonts w:ascii="Bookman Old Style" w:hAnsi="Bookman Old Style"/>
      <w:b/>
      <w:sz w:val="24"/>
    </w:rPr>
  </w:style>
  <w:style w:type="paragraph" w:styleId="Heading2">
    <w:name w:val="heading 2"/>
    <w:basedOn w:val="Normal"/>
    <w:next w:val="Normal"/>
    <w:qFormat/>
    <w:rsid w:val="00D92EAD"/>
    <w:pPr>
      <w:keepNext/>
      <w:jc w:val="center"/>
      <w:outlineLvl w:val="1"/>
    </w:pPr>
    <w:rPr>
      <w:rFonts w:ascii="TimesNewRomanPS" w:hAnsi="TimesNewRomanPS"/>
      <w:b/>
      <w:sz w:val="22"/>
    </w:rPr>
  </w:style>
  <w:style w:type="paragraph" w:styleId="Heading3">
    <w:name w:val="heading 3"/>
    <w:basedOn w:val="Normal"/>
    <w:next w:val="Normal"/>
    <w:qFormat/>
    <w:rsid w:val="00D92EAD"/>
    <w:pPr>
      <w:keepNext/>
      <w:tabs>
        <w:tab w:val="left" w:pos="6480"/>
      </w:tabs>
      <w:ind w:right="-1411"/>
      <w:jc w:val="both"/>
      <w:outlineLvl w:val="2"/>
    </w:pPr>
    <w:rPr>
      <w:rFonts w:ascii="Bookman Old Style" w:hAnsi="Bookman Old Style"/>
      <w:b/>
      <w:sz w:val="24"/>
    </w:rPr>
  </w:style>
  <w:style w:type="paragraph" w:styleId="Heading4">
    <w:name w:val="heading 4"/>
    <w:basedOn w:val="Normal"/>
    <w:next w:val="Normal"/>
    <w:qFormat/>
    <w:rsid w:val="00D92EAD"/>
    <w:pPr>
      <w:keepNext/>
      <w:jc w:val="both"/>
      <w:outlineLvl w:val="3"/>
    </w:pPr>
    <w:rPr>
      <w:rFonts w:ascii="Bookman Old Style" w:hAnsi="Bookman Old Style"/>
      <w:sz w:val="24"/>
    </w:rPr>
  </w:style>
  <w:style w:type="paragraph" w:styleId="Heading5">
    <w:name w:val="heading 5"/>
    <w:basedOn w:val="Normal"/>
    <w:next w:val="Normal"/>
    <w:qFormat/>
    <w:rsid w:val="00D92EAD"/>
    <w:pPr>
      <w:keepNext/>
      <w:jc w:val="center"/>
      <w:outlineLvl w:val="4"/>
    </w:pPr>
    <w:rPr>
      <w:rFonts w:ascii="Bookman Old Style" w:hAnsi="Bookman Old Style"/>
      <w:b/>
      <w:sz w:val="18"/>
    </w:rPr>
  </w:style>
  <w:style w:type="paragraph" w:styleId="Heading6">
    <w:name w:val="heading 6"/>
    <w:basedOn w:val="Normal"/>
    <w:next w:val="Normal"/>
    <w:qFormat/>
    <w:rsid w:val="00D92EAD"/>
    <w:pPr>
      <w:keepNext/>
      <w:jc w:val="both"/>
      <w:outlineLvl w:val="5"/>
    </w:pPr>
    <w:rPr>
      <w:rFonts w:ascii="Bookman Old Style" w:hAnsi="Bookman Old Style"/>
      <w:i/>
      <w:sz w:val="18"/>
    </w:rPr>
  </w:style>
  <w:style w:type="paragraph" w:styleId="Heading7">
    <w:name w:val="heading 7"/>
    <w:basedOn w:val="Normal"/>
    <w:next w:val="Normal"/>
    <w:qFormat/>
    <w:rsid w:val="00D92EAD"/>
    <w:pPr>
      <w:keepNext/>
      <w:jc w:val="center"/>
      <w:outlineLvl w:val="6"/>
    </w:pPr>
    <w:rPr>
      <w:rFonts w:ascii="Bookman Old Style" w:hAnsi="Bookman Old Style"/>
      <w:sz w:val="24"/>
      <w:u w:val="single"/>
    </w:rPr>
  </w:style>
  <w:style w:type="paragraph" w:styleId="Heading8">
    <w:name w:val="heading 8"/>
    <w:basedOn w:val="Normal"/>
    <w:next w:val="Normal"/>
    <w:qFormat/>
    <w:rsid w:val="00D92EAD"/>
    <w:pPr>
      <w:keepNext/>
      <w:ind w:left="540" w:hanging="540"/>
      <w:jc w:val="both"/>
      <w:outlineLvl w:val="7"/>
    </w:pPr>
    <w:rPr>
      <w:rFonts w:ascii="Arial" w:hAnsi="Arial"/>
      <w:b/>
      <w:sz w:val="36"/>
      <w:u w:val="single"/>
    </w:rPr>
  </w:style>
  <w:style w:type="paragraph" w:styleId="Heading9">
    <w:name w:val="heading 9"/>
    <w:basedOn w:val="Normal"/>
    <w:next w:val="Normal"/>
    <w:qFormat/>
    <w:rsid w:val="00D92EAD"/>
    <w:pPr>
      <w:keepNext/>
      <w:jc w:val="center"/>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92EAD"/>
    <w:pPr>
      <w:tabs>
        <w:tab w:val="center" w:pos="4320"/>
        <w:tab w:val="right" w:pos="8640"/>
      </w:tabs>
    </w:pPr>
    <w:rPr>
      <w:rFonts w:ascii="TimesNewRomanPS" w:hAnsi="TimesNewRomanPS"/>
    </w:rPr>
  </w:style>
  <w:style w:type="paragraph" w:styleId="Header">
    <w:name w:val="header"/>
    <w:basedOn w:val="Normal"/>
    <w:rsid w:val="00D92EAD"/>
    <w:pPr>
      <w:tabs>
        <w:tab w:val="center" w:pos="4320"/>
        <w:tab w:val="right" w:pos="8640"/>
      </w:tabs>
    </w:pPr>
    <w:rPr>
      <w:rFonts w:ascii="TimesNewRomanPS" w:hAnsi="TimesNewRomanPS"/>
    </w:rPr>
  </w:style>
  <w:style w:type="character" w:styleId="PageNumber">
    <w:name w:val="page number"/>
    <w:basedOn w:val="DefaultParagraphFont"/>
    <w:rsid w:val="00D92EAD"/>
  </w:style>
  <w:style w:type="paragraph" w:styleId="BodyTextIndent">
    <w:name w:val="Body Text Indent"/>
    <w:basedOn w:val="Normal"/>
    <w:rsid w:val="00D92EAD"/>
    <w:pPr>
      <w:ind w:left="540" w:hanging="540"/>
      <w:jc w:val="both"/>
    </w:pPr>
    <w:rPr>
      <w:rFonts w:ascii="Arial" w:hAnsi="Arial"/>
      <w:sz w:val="24"/>
    </w:rPr>
  </w:style>
  <w:style w:type="paragraph" w:styleId="BodyText">
    <w:name w:val="Body Text"/>
    <w:basedOn w:val="Normal"/>
    <w:rsid w:val="00D92EAD"/>
    <w:pPr>
      <w:jc w:val="both"/>
    </w:pPr>
    <w:rPr>
      <w:rFonts w:ascii="Arial" w:hAnsi="Arial"/>
      <w:sz w:val="24"/>
    </w:rPr>
  </w:style>
  <w:style w:type="paragraph" w:styleId="List">
    <w:name w:val="List"/>
    <w:basedOn w:val="Normal"/>
    <w:rsid w:val="00D92EAD"/>
    <w:pPr>
      <w:ind w:left="360" w:hanging="360"/>
    </w:pPr>
  </w:style>
  <w:style w:type="paragraph" w:styleId="List2">
    <w:name w:val="List 2"/>
    <w:basedOn w:val="Normal"/>
    <w:rsid w:val="00D92EAD"/>
    <w:pPr>
      <w:ind w:left="720" w:hanging="360"/>
    </w:pPr>
  </w:style>
  <w:style w:type="paragraph" w:styleId="MessageHeader">
    <w:name w:val="Message Header"/>
    <w:basedOn w:val="Normal"/>
    <w:rsid w:val="00D92EA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BodyTextIndent2">
    <w:name w:val="Body Text Indent 2"/>
    <w:basedOn w:val="Normal"/>
    <w:rsid w:val="00D92EAD"/>
    <w:pPr>
      <w:ind w:left="720"/>
      <w:jc w:val="both"/>
    </w:pPr>
    <w:rPr>
      <w:rFonts w:ascii="Arial" w:hAnsi="Arial"/>
      <w:sz w:val="24"/>
    </w:rPr>
  </w:style>
  <w:style w:type="paragraph" w:styleId="DocumentMap">
    <w:name w:val="Document Map"/>
    <w:basedOn w:val="Normal"/>
    <w:semiHidden/>
    <w:rsid w:val="00D92EAD"/>
    <w:pPr>
      <w:shd w:val="clear" w:color="auto" w:fill="000080"/>
    </w:pPr>
    <w:rPr>
      <w:rFonts w:ascii="Tahoma" w:hAnsi="Tahoma"/>
    </w:rPr>
  </w:style>
  <w:style w:type="paragraph" w:styleId="BodyTextIndent3">
    <w:name w:val="Body Text Indent 3"/>
    <w:basedOn w:val="Normal"/>
    <w:rsid w:val="00D92EAD"/>
    <w:pPr>
      <w:ind w:left="720"/>
      <w:jc w:val="both"/>
    </w:pPr>
    <w:rPr>
      <w:rFonts w:ascii="Arial" w:hAnsi="Arial"/>
      <w:sz w:val="22"/>
    </w:rPr>
  </w:style>
  <w:style w:type="paragraph" w:styleId="BodyText2">
    <w:name w:val="Body Text 2"/>
    <w:basedOn w:val="Normal"/>
    <w:rsid w:val="00D92EAD"/>
    <w:pPr>
      <w:tabs>
        <w:tab w:val="left" w:pos="1512"/>
      </w:tabs>
      <w:ind w:right="584"/>
    </w:pPr>
    <w:rPr>
      <w:rFonts w:ascii="Arial" w:hAnsi="Arial"/>
    </w:rPr>
  </w:style>
  <w:style w:type="paragraph" w:styleId="BodyText3">
    <w:name w:val="Body Text 3"/>
    <w:basedOn w:val="Normal"/>
    <w:rsid w:val="00D92EAD"/>
    <w:pPr>
      <w:jc w:val="center"/>
    </w:pPr>
    <w:rPr>
      <w:rFonts w:ascii="Arial" w:hAnsi="Arial"/>
      <w:b/>
      <w:sz w:val="18"/>
    </w:rPr>
  </w:style>
  <w:style w:type="paragraph" w:styleId="BalloonText">
    <w:name w:val="Balloon Text"/>
    <w:basedOn w:val="Normal"/>
    <w:semiHidden/>
    <w:rsid w:val="00D92EAD"/>
    <w:rPr>
      <w:rFonts w:ascii="Tahoma" w:hAnsi="Tahoma" w:cs="Tahoma"/>
      <w:sz w:val="16"/>
      <w:szCs w:val="16"/>
    </w:rPr>
  </w:style>
  <w:style w:type="character" w:styleId="CommentReference">
    <w:name w:val="annotation reference"/>
    <w:basedOn w:val="DefaultParagraphFont"/>
    <w:semiHidden/>
    <w:rsid w:val="00D92EAD"/>
    <w:rPr>
      <w:sz w:val="16"/>
      <w:szCs w:val="16"/>
    </w:rPr>
  </w:style>
  <w:style w:type="paragraph" w:styleId="CommentText">
    <w:name w:val="annotation text"/>
    <w:basedOn w:val="Normal"/>
    <w:semiHidden/>
    <w:rsid w:val="00D92EAD"/>
  </w:style>
  <w:style w:type="paragraph" w:styleId="CommentSubject">
    <w:name w:val="annotation subject"/>
    <w:basedOn w:val="CommentText"/>
    <w:next w:val="CommentText"/>
    <w:semiHidden/>
    <w:rsid w:val="00D92EAD"/>
    <w:rPr>
      <w:b/>
      <w:bCs/>
    </w:rPr>
  </w:style>
  <w:style w:type="table" w:styleId="TableGrid">
    <w:name w:val="Table Grid"/>
    <w:basedOn w:val="TableNormal"/>
    <w:rsid w:val="00567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aliases w:val=" Char Char"/>
    <w:basedOn w:val="DefaultParagraphFont"/>
    <w:link w:val="PlainText"/>
    <w:semiHidden/>
    <w:rsid w:val="00FA3C5E"/>
    <w:rPr>
      <w:rFonts w:ascii="Courier New" w:hAnsi="Courier New" w:cs="Tahoma"/>
      <w:lang w:val="en-US" w:eastAsia="en-US" w:bidi="ar-SA"/>
    </w:rPr>
  </w:style>
  <w:style w:type="paragraph" w:styleId="PlainText">
    <w:name w:val="Plain Text"/>
    <w:aliases w:val=" Char"/>
    <w:basedOn w:val="Normal"/>
    <w:link w:val="PlainTextChar"/>
    <w:semiHidden/>
    <w:rsid w:val="00FA3C5E"/>
    <w:rPr>
      <w:rFonts w:ascii="Courier New" w:hAnsi="Courier New" w:cs="Tahoma"/>
    </w:rPr>
  </w:style>
  <w:style w:type="paragraph" w:styleId="ListParagraph">
    <w:name w:val="List Paragraph"/>
    <w:basedOn w:val="Normal"/>
    <w:uiPriority w:val="34"/>
    <w:qFormat/>
    <w:rsid w:val="00A44F1E"/>
    <w:pPr>
      <w:ind w:left="720"/>
    </w:pPr>
  </w:style>
  <w:style w:type="paragraph" w:customStyle="1" w:styleId="14">
    <w:name w:val="14"/>
    <w:basedOn w:val="Normal"/>
    <w:rsid w:val="00FA2BD6"/>
    <w:pPr>
      <w:tabs>
        <w:tab w:val="left" w:pos="288"/>
        <w:tab w:val="left" w:pos="864"/>
        <w:tab w:val="left" w:pos="1440"/>
      </w:tabs>
      <w:autoSpaceDE w:val="0"/>
      <w:autoSpaceDN w:val="0"/>
      <w:jc w:val="both"/>
    </w:pPr>
    <w:rPr>
      <w:rFonts w:ascii="CG Omega" w:eastAsia="PMingLiU" w:hAnsi="CG Omega"/>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2907</Words>
  <Characters>16100</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NOTES</vt:lpstr>
    </vt:vector>
  </TitlesOfParts>
  <Company>JOHORE TENGGARA OIL PALM BHD</Company>
  <LinksUpToDate>false</LinksUpToDate>
  <CharactersWithSpaces>18970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dc:title>
  <dc:creator>ASMAH ABD RAHMAN</dc:creator>
  <cp:lastModifiedBy>Juniza</cp:lastModifiedBy>
  <cp:revision>2</cp:revision>
  <cp:lastPrinted>2010-08-17T03:23:00Z</cp:lastPrinted>
  <dcterms:created xsi:type="dcterms:W3CDTF">2010-08-18T09:02:00Z</dcterms:created>
  <dcterms:modified xsi:type="dcterms:W3CDTF">2010-08-18T09:02:00Z</dcterms:modified>
</cp:coreProperties>
</file>