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D5" w:rsidRPr="006E611C" w:rsidRDefault="00643BD5" w:rsidP="00B06737">
      <w:pPr>
        <w:jc w:val="both"/>
        <w:rPr>
          <w:b/>
          <w:bCs/>
          <w:sz w:val="22"/>
          <w:szCs w:val="22"/>
        </w:rPr>
      </w:pPr>
      <w:r w:rsidRPr="006E611C">
        <w:rPr>
          <w:b/>
          <w:bCs/>
          <w:sz w:val="22"/>
          <w:szCs w:val="22"/>
        </w:rPr>
        <w:t xml:space="preserve">PART A: EXPLANATORY NOTES AS PER </w:t>
      </w:r>
      <w:r w:rsidR="00601394">
        <w:rPr>
          <w:b/>
          <w:bCs/>
          <w:sz w:val="22"/>
          <w:szCs w:val="22"/>
        </w:rPr>
        <w:t>M</w:t>
      </w:r>
      <w:r w:rsidRPr="006E611C">
        <w:rPr>
          <w:b/>
          <w:bCs/>
          <w:sz w:val="22"/>
          <w:szCs w:val="22"/>
        </w:rPr>
        <w:t>FRS 134</w:t>
      </w:r>
    </w:p>
    <w:p w:rsidR="00643BD5" w:rsidRPr="006E611C" w:rsidRDefault="00643BD5" w:rsidP="0084005C">
      <w:pPr>
        <w:jc w:val="both"/>
        <w:rPr>
          <w:b/>
          <w:bCs/>
          <w:sz w:val="22"/>
          <w:szCs w:val="22"/>
        </w:rPr>
      </w:pPr>
    </w:p>
    <w:p w:rsidR="00643BD5" w:rsidRPr="006E611C" w:rsidRDefault="00643BD5" w:rsidP="008A18FC">
      <w:pPr>
        <w:ind w:left="360"/>
        <w:jc w:val="both"/>
        <w:rPr>
          <w:b/>
          <w:bCs/>
          <w:sz w:val="22"/>
          <w:szCs w:val="22"/>
        </w:rPr>
      </w:pPr>
    </w:p>
    <w:p w:rsidR="00643BD5" w:rsidRPr="006E611C" w:rsidRDefault="00643BD5" w:rsidP="008A18FC">
      <w:pPr>
        <w:numPr>
          <w:ilvl w:val="0"/>
          <w:numId w:val="1"/>
        </w:numPr>
        <w:jc w:val="both"/>
        <w:rPr>
          <w:b/>
          <w:bCs/>
          <w:sz w:val="22"/>
          <w:szCs w:val="22"/>
        </w:rPr>
      </w:pPr>
      <w:r w:rsidRPr="006E611C">
        <w:rPr>
          <w:b/>
          <w:bCs/>
          <w:sz w:val="22"/>
          <w:szCs w:val="22"/>
        </w:rPr>
        <w:t xml:space="preserve">Basis of preparation </w:t>
      </w:r>
    </w:p>
    <w:p w:rsidR="00643BD5" w:rsidRPr="006E611C" w:rsidRDefault="00643BD5" w:rsidP="008A18FC">
      <w:pPr>
        <w:pStyle w:val="BodyTextIndent"/>
        <w:ind w:left="1080"/>
        <w:jc w:val="both"/>
        <w:rPr>
          <w:sz w:val="22"/>
          <w:szCs w:val="22"/>
        </w:rPr>
      </w:pPr>
    </w:p>
    <w:p w:rsidR="00643BD5" w:rsidRPr="006E611C" w:rsidRDefault="00643BD5" w:rsidP="008A18FC">
      <w:pPr>
        <w:pStyle w:val="BodyTextIndent"/>
        <w:ind w:left="1080"/>
        <w:jc w:val="both"/>
        <w:rPr>
          <w:sz w:val="22"/>
          <w:szCs w:val="22"/>
        </w:rPr>
      </w:pPr>
      <w:r w:rsidRPr="006E611C">
        <w:rPr>
          <w:sz w:val="22"/>
          <w:szCs w:val="22"/>
        </w:rPr>
        <w:t xml:space="preserve">The interim financial statements are unaudited and have been prepared in accordance with the requirements of </w:t>
      </w:r>
      <w:r w:rsidR="001D258E" w:rsidRPr="006E611C">
        <w:rPr>
          <w:sz w:val="22"/>
          <w:szCs w:val="22"/>
        </w:rPr>
        <w:t>M</w:t>
      </w:r>
      <w:r w:rsidRPr="006E611C">
        <w:rPr>
          <w:sz w:val="22"/>
          <w:szCs w:val="22"/>
        </w:rPr>
        <w:t xml:space="preserve">FRS 134: Interim Financial Reporting and Paragraph 9.22 and Part </w:t>
      </w:r>
      <w:proofErr w:type="gramStart"/>
      <w:r w:rsidRPr="006E611C">
        <w:rPr>
          <w:sz w:val="22"/>
          <w:szCs w:val="22"/>
        </w:rPr>
        <w:t>A</w:t>
      </w:r>
      <w:proofErr w:type="gramEnd"/>
      <w:r w:rsidRPr="006E611C">
        <w:rPr>
          <w:sz w:val="22"/>
          <w:szCs w:val="22"/>
        </w:rPr>
        <w:t xml:space="preserve"> of Appendix 9B of the Listing Requirements of Bursa Malaysia Securities Berhad ("Bursa Securities"). </w:t>
      </w:r>
    </w:p>
    <w:p w:rsidR="00643BD5" w:rsidRPr="006E611C" w:rsidRDefault="00643BD5" w:rsidP="008A18FC">
      <w:pPr>
        <w:pStyle w:val="BodyTextIndent"/>
        <w:ind w:left="1080"/>
        <w:jc w:val="both"/>
        <w:rPr>
          <w:sz w:val="22"/>
          <w:szCs w:val="22"/>
        </w:rPr>
      </w:pPr>
    </w:p>
    <w:p w:rsidR="00643BD5" w:rsidRPr="006E611C" w:rsidRDefault="00643BD5" w:rsidP="008A18FC">
      <w:pPr>
        <w:pStyle w:val="BodyTextIndent"/>
        <w:ind w:left="1080"/>
        <w:jc w:val="both"/>
        <w:rPr>
          <w:sz w:val="22"/>
          <w:szCs w:val="22"/>
        </w:rPr>
      </w:pPr>
      <w:r w:rsidRPr="006E611C">
        <w:rPr>
          <w:sz w:val="22"/>
          <w:szCs w:val="22"/>
        </w:rPr>
        <w:t xml:space="preserve">The interim financial statements have been prepared on the basis of consolidating the results of the subsidiary companies during the three months period under review using the acquisition method of accounting. The interim financial statements are to be read in conjunction with the Company audited annual financial statements for the financial year ended 31 December </w:t>
      </w:r>
      <w:r w:rsidR="00863730" w:rsidRPr="006E611C">
        <w:rPr>
          <w:sz w:val="22"/>
          <w:szCs w:val="22"/>
        </w:rPr>
        <w:t>2011</w:t>
      </w:r>
      <w:r w:rsidRPr="006E611C">
        <w:rPr>
          <w:sz w:val="22"/>
          <w:szCs w:val="22"/>
        </w:rPr>
        <w:t>. The explanatory notes attached to the interim financial statements provide an explanation of events and transactions that are significant to an understanding of the changes in the financial position and performance of the Group.</w:t>
      </w:r>
    </w:p>
    <w:p w:rsidR="00643BD5" w:rsidRPr="006E611C" w:rsidRDefault="00643BD5" w:rsidP="008A18FC">
      <w:pPr>
        <w:pStyle w:val="BodyTextIndent"/>
        <w:ind w:left="1080"/>
        <w:jc w:val="both"/>
        <w:rPr>
          <w:sz w:val="22"/>
          <w:szCs w:val="22"/>
        </w:rPr>
      </w:pPr>
    </w:p>
    <w:p w:rsidR="006E611C" w:rsidRPr="006E611C" w:rsidRDefault="00643BD5" w:rsidP="006E611C">
      <w:pPr>
        <w:pStyle w:val="BodyTextIndent"/>
        <w:ind w:left="1080"/>
        <w:jc w:val="both"/>
        <w:rPr>
          <w:sz w:val="22"/>
          <w:szCs w:val="22"/>
        </w:rPr>
      </w:pPr>
      <w:r w:rsidRPr="006E611C">
        <w:rPr>
          <w:sz w:val="22"/>
          <w:szCs w:val="22"/>
        </w:rPr>
        <w:t>The accounting principles and bases used are consistent with those previously adopted in the preparation of the financial statements of CSC Steel Holdings Berhad (“CHB”), and its subsidiary companies (“Group”)</w:t>
      </w:r>
      <w:r w:rsidR="009902FA">
        <w:rPr>
          <w:sz w:val="22"/>
          <w:szCs w:val="22"/>
        </w:rPr>
        <w:t>.</w:t>
      </w:r>
    </w:p>
    <w:p w:rsidR="006E611C" w:rsidRPr="006E611C" w:rsidRDefault="006E611C" w:rsidP="006E611C">
      <w:pPr>
        <w:adjustRightInd w:val="0"/>
        <w:ind w:left="720"/>
        <w:jc w:val="both"/>
        <w:rPr>
          <w:color w:val="000000"/>
          <w:sz w:val="22"/>
          <w:szCs w:val="22"/>
        </w:rPr>
      </w:pPr>
    </w:p>
    <w:p w:rsidR="00643BD5" w:rsidRPr="006E611C" w:rsidRDefault="009902FA" w:rsidP="009902FA">
      <w:pPr>
        <w:ind w:left="1080"/>
        <w:jc w:val="both"/>
        <w:rPr>
          <w:sz w:val="22"/>
          <w:szCs w:val="22"/>
        </w:rPr>
      </w:pPr>
      <w:r>
        <w:rPr>
          <w:color w:val="000000"/>
          <w:sz w:val="22"/>
          <w:szCs w:val="22"/>
        </w:rPr>
        <w:t xml:space="preserve">Commencing January 1, 2012 the Group has adopted Malaysia Accounting Standard Board approved accounting framework and applied </w:t>
      </w:r>
      <w:r w:rsidR="006E611C" w:rsidRPr="006E611C">
        <w:rPr>
          <w:color w:val="000000"/>
          <w:sz w:val="22"/>
          <w:szCs w:val="22"/>
        </w:rPr>
        <w:t xml:space="preserve">MFRS 1 </w:t>
      </w:r>
      <w:r w:rsidR="006E611C" w:rsidRPr="006E611C">
        <w:rPr>
          <w:i/>
          <w:color w:val="000000"/>
          <w:sz w:val="22"/>
          <w:szCs w:val="22"/>
        </w:rPr>
        <w:t>First-time Adoption of Malaysian Financial Reporting Standards</w:t>
      </w:r>
      <w:r w:rsidR="006E611C" w:rsidRPr="006E611C">
        <w:rPr>
          <w:color w:val="000000"/>
          <w:sz w:val="22"/>
          <w:szCs w:val="22"/>
        </w:rPr>
        <w:t xml:space="preserve"> (MFRS 1).</w:t>
      </w:r>
      <w:r>
        <w:rPr>
          <w:color w:val="000000"/>
          <w:sz w:val="22"/>
          <w:szCs w:val="22"/>
        </w:rPr>
        <w:t xml:space="preserve"> </w:t>
      </w:r>
      <w:r w:rsidR="00643BD5" w:rsidRPr="006E611C">
        <w:rPr>
          <w:sz w:val="22"/>
          <w:szCs w:val="22"/>
        </w:rPr>
        <w:t>T</w:t>
      </w:r>
      <w:r w:rsidR="006E611C" w:rsidRPr="006E611C">
        <w:rPr>
          <w:sz w:val="22"/>
          <w:szCs w:val="22"/>
        </w:rPr>
        <w:t>he adoption of the M</w:t>
      </w:r>
      <w:r w:rsidR="00643BD5" w:rsidRPr="006E611C">
        <w:rPr>
          <w:sz w:val="22"/>
          <w:szCs w:val="22"/>
        </w:rPr>
        <w:t xml:space="preserve">FRS does not have significant financial impact on the interim financial statements of CHB and the Group. </w:t>
      </w:r>
    </w:p>
    <w:p w:rsidR="00643BD5" w:rsidRDefault="00643BD5" w:rsidP="008A18FC">
      <w:pPr>
        <w:pStyle w:val="BodyTextIndent"/>
        <w:ind w:left="1080"/>
        <w:jc w:val="both"/>
        <w:rPr>
          <w:sz w:val="22"/>
          <w:szCs w:val="22"/>
        </w:rPr>
      </w:pPr>
    </w:p>
    <w:p w:rsidR="00C5597D" w:rsidRPr="006E611C" w:rsidRDefault="00C5597D" w:rsidP="008A18FC">
      <w:pPr>
        <w:pStyle w:val="BodyTextIndent"/>
        <w:ind w:left="1080"/>
        <w:jc w:val="both"/>
        <w:rPr>
          <w:sz w:val="22"/>
          <w:szCs w:val="22"/>
        </w:rPr>
      </w:pPr>
    </w:p>
    <w:p w:rsidR="00643BD5" w:rsidRPr="006E611C" w:rsidRDefault="00643BD5" w:rsidP="008A18FC">
      <w:pPr>
        <w:numPr>
          <w:ilvl w:val="0"/>
          <w:numId w:val="1"/>
        </w:numPr>
        <w:jc w:val="both"/>
        <w:rPr>
          <w:b/>
          <w:bCs/>
          <w:sz w:val="22"/>
          <w:szCs w:val="22"/>
        </w:rPr>
      </w:pPr>
      <w:r w:rsidRPr="006E611C">
        <w:rPr>
          <w:b/>
          <w:bCs/>
          <w:sz w:val="22"/>
          <w:szCs w:val="22"/>
        </w:rPr>
        <w:t>Qualification of Annual Financial Statements</w:t>
      </w:r>
    </w:p>
    <w:p w:rsidR="00643BD5" w:rsidRPr="006E611C" w:rsidRDefault="00643BD5" w:rsidP="008A18FC">
      <w:pPr>
        <w:ind w:left="1080"/>
        <w:jc w:val="both"/>
        <w:rPr>
          <w:b/>
          <w:bCs/>
          <w:sz w:val="22"/>
          <w:szCs w:val="22"/>
        </w:rPr>
      </w:pPr>
    </w:p>
    <w:p w:rsidR="00643BD5" w:rsidRPr="006E611C" w:rsidRDefault="00643BD5" w:rsidP="008A18FC">
      <w:pPr>
        <w:pStyle w:val="BodyTextIndent"/>
        <w:ind w:left="1080"/>
        <w:jc w:val="both"/>
        <w:rPr>
          <w:sz w:val="22"/>
          <w:szCs w:val="22"/>
        </w:rPr>
      </w:pPr>
      <w:r w:rsidRPr="006E611C">
        <w:rPr>
          <w:sz w:val="22"/>
          <w:szCs w:val="22"/>
        </w:rPr>
        <w:t>There has not been any qualification made by the auditors on the annual financial statements of the Group for the finan</w:t>
      </w:r>
      <w:r w:rsidR="00863730" w:rsidRPr="006E611C">
        <w:rPr>
          <w:sz w:val="22"/>
          <w:szCs w:val="22"/>
        </w:rPr>
        <w:t>cial year ended 31 December 2011</w:t>
      </w:r>
      <w:r w:rsidRPr="006E611C">
        <w:rPr>
          <w:sz w:val="22"/>
          <w:szCs w:val="22"/>
        </w:rPr>
        <w:t>.</w:t>
      </w:r>
    </w:p>
    <w:p w:rsidR="00643BD5" w:rsidRDefault="00643BD5" w:rsidP="008A18FC">
      <w:pPr>
        <w:pStyle w:val="BodyTextIndent2"/>
        <w:ind w:left="0"/>
        <w:jc w:val="both"/>
        <w:rPr>
          <w:b w:val="0"/>
          <w:bCs w:val="0"/>
          <w:sz w:val="22"/>
          <w:szCs w:val="22"/>
        </w:rPr>
      </w:pPr>
    </w:p>
    <w:p w:rsidR="00C5597D" w:rsidRPr="006E611C" w:rsidRDefault="00C5597D" w:rsidP="008A18FC">
      <w:pPr>
        <w:pStyle w:val="BodyTextIndent2"/>
        <w:ind w:left="0"/>
        <w:jc w:val="both"/>
        <w:rPr>
          <w:b w:val="0"/>
          <w:bCs w:val="0"/>
          <w:sz w:val="22"/>
          <w:szCs w:val="22"/>
        </w:rPr>
      </w:pPr>
    </w:p>
    <w:p w:rsidR="00643BD5" w:rsidRPr="006E611C" w:rsidRDefault="00643BD5" w:rsidP="008A18FC">
      <w:pPr>
        <w:pStyle w:val="BodyTextIndent2"/>
        <w:numPr>
          <w:ilvl w:val="0"/>
          <w:numId w:val="1"/>
        </w:numPr>
        <w:jc w:val="both"/>
        <w:rPr>
          <w:sz w:val="22"/>
          <w:szCs w:val="22"/>
        </w:rPr>
      </w:pPr>
      <w:r w:rsidRPr="006E611C">
        <w:rPr>
          <w:sz w:val="22"/>
          <w:szCs w:val="22"/>
        </w:rPr>
        <w:t>Seasonal and cyclical factors</w:t>
      </w:r>
    </w:p>
    <w:p w:rsidR="00643BD5" w:rsidRPr="006E611C" w:rsidRDefault="00643BD5" w:rsidP="008A18FC">
      <w:pPr>
        <w:ind w:left="1080"/>
        <w:jc w:val="both"/>
        <w:rPr>
          <w:sz w:val="22"/>
          <w:szCs w:val="22"/>
        </w:rPr>
      </w:pPr>
    </w:p>
    <w:p w:rsidR="00643BD5" w:rsidRDefault="00643BD5" w:rsidP="008A18FC">
      <w:pPr>
        <w:ind w:left="1080"/>
        <w:jc w:val="both"/>
        <w:rPr>
          <w:sz w:val="22"/>
          <w:szCs w:val="22"/>
        </w:rPr>
      </w:pPr>
      <w:r w:rsidRPr="006E611C">
        <w:rPr>
          <w:sz w:val="22"/>
          <w:szCs w:val="22"/>
        </w:rPr>
        <w:t>The Group’s business operation results were not materially affected by any major seasonal or cyclical factors.</w:t>
      </w:r>
    </w:p>
    <w:p w:rsidR="00601394" w:rsidRDefault="00601394" w:rsidP="008A18FC">
      <w:pPr>
        <w:ind w:left="1080"/>
        <w:jc w:val="both"/>
        <w:rPr>
          <w:b/>
          <w:bCs/>
          <w:sz w:val="22"/>
          <w:szCs w:val="22"/>
        </w:rPr>
      </w:pPr>
    </w:p>
    <w:p w:rsidR="00C5597D" w:rsidRPr="006E611C" w:rsidRDefault="00C5597D" w:rsidP="008A18FC">
      <w:pPr>
        <w:ind w:left="1080"/>
        <w:jc w:val="both"/>
        <w:rPr>
          <w:b/>
          <w:bCs/>
          <w:sz w:val="22"/>
          <w:szCs w:val="22"/>
        </w:rPr>
      </w:pPr>
    </w:p>
    <w:p w:rsidR="00643BD5" w:rsidRPr="006E611C" w:rsidRDefault="00643BD5" w:rsidP="008A18FC">
      <w:pPr>
        <w:numPr>
          <w:ilvl w:val="0"/>
          <w:numId w:val="1"/>
        </w:numPr>
        <w:jc w:val="both"/>
        <w:rPr>
          <w:b/>
          <w:bCs/>
          <w:sz w:val="22"/>
          <w:szCs w:val="22"/>
        </w:rPr>
      </w:pPr>
      <w:r w:rsidRPr="006E611C">
        <w:rPr>
          <w:b/>
          <w:bCs/>
          <w:sz w:val="22"/>
          <w:szCs w:val="22"/>
        </w:rPr>
        <w:t>Unusual nature and amounts of items affecting assets, liabilities, equity, net income or cash flows</w:t>
      </w:r>
    </w:p>
    <w:p w:rsidR="00643BD5" w:rsidRPr="006E611C" w:rsidRDefault="00643BD5" w:rsidP="008A18FC">
      <w:pPr>
        <w:pStyle w:val="BodyTextIndent"/>
        <w:ind w:left="1080"/>
        <w:jc w:val="both"/>
        <w:rPr>
          <w:sz w:val="22"/>
          <w:szCs w:val="22"/>
        </w:rPr>
      </w:pPr>
    </w:p>
    <w:p w:rsidR="00643BD5" w:rsidRPr="006E611C" w:rsidRDefault="00643BD5" w:rsidP="008A18FC">
      <w:pPr>
        <w:ind w:left="1080"/>
        <w:jc w:val="both"/>
        <w:rPr>
          <w:b/>
          <w:bCs/>
          <w:sz w:val="22"/>
          <w:szCs w:val="22"/>
        </w:rPr>
      </w:pPr>
      <w:r w:rsidRPr="006E611C">
        <w:rPr>
          <w:sz w:val="22"/>
          <w:szCs w:val="22"/>
        </w:rPr>
        <w:t>There were no items of unusual nature and amount affecting assets, liabilities, equity, net income or cash flows.</w:t>
      </w:r>
      <w:r w:rsidRPr="006E611C">
        <w:rPr>
          <w:b/>
          <w:bCs/>
          <w:sz w:val="22"/>
          <w:szCs w:val="22"/>
        </w:rPr>
        <w:t xml:space="preserve"> </w:t>
      </w:r>
    </w:p>
    <w:p w:rsidR="00643BD5" w:rsidRPr="006E611C" w:rsidRDefault="00643BD5" w:rsidP="008A18FC">
      <w:pPr>
        <w:ind w:left="1080"/>
        <w:jc w:val="both"/>
        <w:rPr>
          <w:b/>
          <w:bCs/>
          <w:sz w:val="22"/>
          <w:szCs w:val="22"/>
        </w:rPr>
      </w:pPr>
    </w:p>
    <w:p w:rsidR="00643BD5" w:rsidRPr="006E611C" w:rsidRDefault="00643BD5" w:rsidP="008A18FC">
      <w:pPr>
        <w:ind w:left="1080"/>
        <w:jc w:val="both"/>
        <w:rPr>
          <w:b/>
          <w:bCs/>
          <w:sz w:val="22"/>
          <w:szCs w:val="22"/>
        </w:rPr>
      </w:pPr>
    </w:p>
    <w:p w:rsidR="00643BD5" w:rsidRPr="006E611C" w:rsidRDefault="00643BD5" w:rsidP="008A18FC">
      <w:pPr>
        <w:numPr>
          <w:ilvl w:val="0"/>
          <w:numId w:val="1"/>
        </w:numPr>
        <w:jc w:val="both"/>
        <w:rPr>
          <w:b/>
          <w:bCs/>
          <w:sz w:val="22"/>
          <w:szCs w:val="22"/>
        </w:rPr>
      </w:pPr>
      <w:r w:rsidRPr="006E611C">
        <w:rPr>
          <w:b/>
          <w:bCs/>
          <w:sz w:val="22"/>
          <w:szCs w:val="22"/>
        </w:rPr>
        <w:t xml:space="preserve"> Material changes in estimates</w:t>
      </w:r>
    </w:p>
    <w:p w:rsidR="00643BD5" w:rsidRPr="006E611C" w:rsidRDefault="00643BD5" w:rsidP="008A18FC">
      <w:pPr>
        <w:ind w:left="1080"/>
        <w:jc w:val="both"/>
        <w:rPr>
          <w:b/>
          <w:bCs/>
          <w:sz w:val="22"/>
          <w:szCs w:val="22"/>
        </w:rPr>
      </w:pPr>
    </w:p>
    <w:p w:rsidR="00643BD5" w:rsidRPr="006E611C" w:rsidRDefault="00643BD5" w:rsidP="00D57ECF">
      <w:pPr>
        <w:ind w:left="1080"/>
        <w:jc w:val="both"/>
        <w:rPr>
          <w:sz w:val="22"/>
          <w:szCs w:val="22"/>
        </w:rPr>
      </w:pPr>
      <w:r w:rsidRPr="006E611C">
        <w:rPr>
          <w:sz w:val="22"/>
          <w:szCs w:val="22"/>
        </w:rPr>
        <w:t>There w</w:t>
      </w:r>
      <w:r w:rsidR="005E0047">
        <w:rPr>
          <w:sz w:val="22"/>
          <w:szCs w:val="22"/>
        </w:rPr>
        <w:t>as</w:t>
      </w:r>
      <w:r w:rsidRPr="006E611C">
        <w:rPr>
          <w:sz w:val="22"/>
          <w:szCs w:val="22"/>
        </w:rPr>
        <w:t xml:space="preserve"> no material changes in estimates of amounts reported in the current quarter under review. </w:t>
      </w:r>
    </w:p>
    <w:p w:rsidR="00643BD5" w:rsidRDefault="00643BD5" w:rsidP="008A18FC">
      <w:pPr>
        <w:jc w:val="both"/>
        <w:rPr>
          <w:sz w:val="22"/>
          <w:szCs w:val="22"/>
        </w:rPr>
      </w:pPr>
    </w:p>
    <w:p w:rsidR="00C5597D" w:rsidRPr="006E611C" w:rsidRDefault="00C5597D" w:rsidP="008A18FC">
      <w:pPr>
        <w:jc w:val="both"/>
        <w:rPr>
          <w:sz w:val="22"/>
          <w:szCs w:val="22"/>
        </w:rPr>
      </w:pPr>
    </w:p>
    <w:p w:rsidR="00643BD5" w:rsidRPr="006E611C" w:rsidRDefault="00643BD5" w:rsidP="008A18FC">
      <w:pPr>
        <w:jc w:val="both"/>
        <w:rPr>
          <w:sz w:val="22"/>
          <w:szCs w:val="22"/>
        </w:rPr>
      </w:pPr>
    </w:p>
    <w:p w:rsidR="00C5597D" w:rsidRDefault="00C5597D" w:rsidP="00C5597D">
      <w:pPr>
        <w:pStyle w:val="BodyTextIndent3"/>
        <w:ind w:firstLine="0"/>
        <w:jc w:val="both"/>
        <w:rPr>
          <w:sz w:val="22"/>
          <w:szCs w:val="22"/>
        </w:rPr>
      </w:pPr>
    </w:p>
    <w:p w:rsidR="00643BD5" w:rsidRPr="006E611C" w:rsidRDefault="00643BD5" w:rsidP="008A18FC">
      <w:pPr>
        <w:pStyle w:val="BodyTextIndent3"/>
        <w:numPr>
          <w:ilvl w:val="0"/>
          <w:numId w:val="1"/>
        </w:numPr>
        <w:jc w:val="both"/>
        <w:rPr>
          <w:sz w:val="22"/>
          <w:szCs w:val="22"/>
        </w:rPr>
      </w:pPr>
      <w:r w:rsidRPr="006E611C">
        <w:rPr>
          <w:sz w:val="22"/>
          <w:szCs w:val="22"/>
        </w:rPr>
        <w:t>Issuances and repayment of debt and equity securities</w:t>
      </w:r>
      <w:r w:rsidRPr="006E611C">
        <w:rPr>
          <w:sz w:val="22"/>
          <w:szCs w:val="22"/>
        </w:rPr>
        <w:tab/>
      </w:r>
    </w:p>
    <w:p w:rsidR="00643BD5" w:rsidRPr="006E611C" w:rsidRDefault="00643BD5" w:rsidP="008A18FC">
      <w:pPr>
        <w:pStyle w:val="BodyTextIndent3"/>
        <w:ind w:left="360" w:firstLine="0"/>
        <w:jc w:val="both"/>
        <w:rPr>
          <w:sz w:val="22"/>
          <w:szCs w:val="22"/>
        </w:rPr>
      </w:pPr>
    </w:p>
    <w:p w:rsidR="00643BD5" w:rsidRPr="006E611C" w:rsidRDefault="00643BD5" w:rsidP="008A18FC">
      <w:pPr>
        <w:pStyle w:val="BodyText"/>
        <w:ind w:left="360" w:firstLine="720"/>
        <w:jc w:val="both"/>
        <w:rPr>
          <w:bCs/>
          <w:i w:val="0"/>
          <w:iCs w:val="0"/>
          <w:sz w:val="22"/>
          <w:szCs w:val="22"/>
        </w:rPr>
      </w:pPr>
      <w:r w:rsidRPr="006E611C">
        <w:rPr>
          <w:bCs/>
          <w:i w:val="0"/>
          <w:sz w:val="22"/>
          <w:szCs w:val="22"/>
        </w:rPr>
        <w:t>There were no issuance and repayment of debt and equity securities during the quarter under review.</w:t>
      </w:r>
      <w:r w:rsidRPr="006E611C">
        <w:rPr>
          <w:bCs/>
          <w:i w:val="0"/>
          <w:iCs w:val="0"/>
          <w:sz w:val="22"/>
          <w:szCs w:val="22"/>
        </w:rPr>
        <w:t xml:space="preserve">                                                </w:t>
      </w:r>
    </w:p>
    <w:p w:rsidR="00643BD5" w:rsidRDefault="00643BD5" w:rsidP="008A18FC">
      <w:pPr>
        <w:pStyle w:val="BodyText"/>
        <w:ind w:firstLine="360"/>
        <w:jc w:val="both"/>
        <w:rPr>
          <w:bCs/>
          <w:i w:val="0"/>
          <w:iCs w:val="0"/>
          <w:sz w:val="22"/>
          <w:szCs w:val="22"/>
        </w:rPr>
      </w:pPr>
      <w:r w:rsidRPr="006E611C">
        <w:rPr>
          <w:bCs/>
          <w:i w:val="0"/>
          <w:iCs w:val="0"/>
          <w:sz w:val="22"/>
          <w:szCs w:val="22"/>
        </w:rPr>
        <w:t xml:space="preserve">             </w:t>
      </w:r>
    </w:p>
    <w:p w:rsidR="00C5597D" w:rsidRPr="006E611C" w:rsidRDefault="00C5597D" w:rsidP="008A18FC">
      <w:pPr>
        <w:pStyle w:val="BodyText"/>
        <w:ind w:firstLine="360"/>
        <w:jc w:val="both"/>
        <w:rPr>
          <w:b/>
          <w:bCs/>
          <w:i w:val="0"/>
          <w:iCs w:val="0"/>
          <w:sz w:val="22"/>
          <w:szCs w:val="22"/>
        </w:rPr>
      </w:pPr>
    </w:p>
    <w:p w:rsidR="00643BD5" w:rsidRPr="006E611C" w:rsidRDefault="00643BD5" w:rsidP="008A18FC">
      <w:pPr>
        <w:numPr>
          <w:ilvl w:val="0"/>
          <w:numId w:val="2"/>
        </w:numPr>
        <w:jc w:val="both"/>
        <w:rPr>
          <w:b/>
          <w:bCs/>
          <w:sz w:val="22"/>
          <w:szCs w:val="22"/>
        </w:rPr>
      </w:pPr>
      <w:r w:rsidRPr="006E611C">
        <w:rPr>
          <w:b/>
          <w:bCs/>
          <w:sz w:val="22"/>
          <w:szCs w:val="22"/>
        </w:rPr>
        <w:t>Dividend Paid</w:t>
      </w:r>
      <w:r w:rsidRPr="006E611C">
        <w:rPr>
          <w:b/>
          <w:bCs/>
          <w:sz w:val="22"/>
          <w:szCs w:val="22"/>
        </w:rPr>
        <w:tab/>
      </w:r>
    </w:p>
    <w:p w:rsidR="00643BD5" w:rsidRPr="006E611C" w:rsidRDefault="00643BD5" w:rsidP="000202BF">
      <w:pPr>
        <w:pStyle w:val="BodyTextIndent"/>
        <w:jc w:val="both"/>
        <w:rPr>
          <w:sz w:val="22"/>
          <w:szCs w:val="22"/>
        </w:rPr>
      </w:pPr>
    </w:p>
    <w:p w:rsidR="002F0EC9" w:rsidRPr="006E611C" w:rsidRDefault="007E2EB6" w:rsidP="00753EE1">
      <w:pPr>
        <w:pStyle w:val="BodyTextIndent"/>
        <w:ind w:left="1080"/>
        <w:jc w:val="both"/>
        <w:rPr>
          <w:sz w:val="22"/>
          <w:szCs w:val="22"/>
        </w:rPr>
      </w:pPr>
      <w:r w:rsidRPr="006E611C">
        <w:rPr>
          <w:sz w:val="22"/>
          <w:szCs w:val="22"/>
        </w:rPr>
        <w:t xml:space="preserve">There was no dividend paid </w:t>
      </w:r>
      <w:r w:rsidR="00753EE1">
        <w:rPr>
          <w:sz w:val="22"/>
          <w:szCs w:val="22"/>
        </w:rPr>
        <w:t>during the quarter under review</w:t>
      </w:r>
    </w:p>
    <w:p w:rsidR="00643BD5" w:rsidRPr="006E611C" w:rsidRDefault="00643BD5" w:rsidP="000202BF">
      <w:pPr>
        <w:pStyle w:val="BodyTextIndent"/>
        <w:jc w:val="both"/>
        <w:rPr>
          <w:sz w:val="22"/>
          <w:szCs w:val="22"/>
        </w:rPr>
      </w:pPr>
    </w:p>
    <w:p w:rsidR="00643BD5" w:rsidRPr="006E611C" w:rsidRDefault="00643BD5" w:rsidP="000202BF">
      <w:pPr>
        <w:pStyle w:val="BodyTextIndent"/>
        <w:jc w:val="both"/>
        <w:rPr>
          <w:sz w:val="22"/>
          <w:szCs w:val="22"/>
        </w:rPr>
      </w:pPr>
    </w:p>
    <w:p w:rsidR="00643BD5" w:rsidRPr="006E611C" w:rsidRDefault="00643BD5" w:rsidP="008A18FC">
      <w:pPr>
        <w:tabs>
          <w:tab w:val="left" w:pos="1080"/>
        </w:tabs>
        <w:ind w:left="360"/>
        <w:jc w:val="both"/>
        <w:rPr>
          <w:b/>
          <w:bCs/>
          <w:sz w:val="22"/>
          <w:szCs w:val="22"/>
        </w:rPr>
      </w:pPr>
      <w:r w:rsidRPr="006E611C">
        <w:rPr>
          <w:b/>
          <w:bCs/>
          <w:sz w:val="22"/>
          <w:szCs w:val="22"/>
        </w:rPr>
        <w:t>A8.</w:t>
      </w:r>
      <w:r w:rsidRPr="006E611C">
        <w:rPr>
          <w:b/>
          <w:bCs/>
          <w:sz w:val="22"/>
          <w:szCs w:val="22"/>
        </w:rPr>
        <w:tab/>
        <w:t>Segment information</w:t>
      </w:r>
    </w:p>
    <w:p w:rsidR="00643BD5" w:rsidRPr="006E611C" w:rsidRDefault="00643BD5" w:rsidP="008A18FC">
      <w:pPr>
        <w:tabs>
          <w:tab w:val="left" w:pos="1080"/>
        </w:tabs>
        <w:ind w:left="360"/>
        <w:jc w:val="both"/>
        <w:rPr>
          <w:b/>
          <w:bCs/>
          <w:sz w:val="22"/>
          <w:szCs w:val="22"/>
        </w:rPr>
      </w:pPr>
    </w:p>
    <w:p w:rsidR="00643BD5" w:rsidRPr="006E611C" w:rsidRDefault="00643BD5" w:rsidP="008A18FC">
      <w:pPr>
        <w:tabs>
          <w:tab w:val="left" w:pos="1080"/>
        </w:tabs>
        <w:ind w:left="360"/>
        <w:jc w:val="both"/>
        <w:rPr>
          <w:sz w:val="22"/>
          <w:szCs w:val="22"/>
        </w:rPr>
      </w:pPr>
      <w:r w:rsidRPr="006E611C">
        <w:rPr>
          <w:b/>
          <w:bCs/>
          <w:sz w:val="22"/>
          <w:szCs w:val="22"/>
        </w:rPr>
        <w:tab/>
      </w:r>
      <w:r w:rsidRPr="006E611C">
        <w:rPr>
          <w:sz w:val="22"/>
          <w:szCs w:val="22"/>
        </w:rPr>
        <w:t>Segmental information in respect of the Group’s business segments is as follows:-</w:t>
      </w:r>
    </w:p>
    <w:p w:rsidR="00643BD5" w:rsidRPr="006E611C" w:rsidRDefault="00643BD5" w:rsidP="008A18FC">
      <w:pPr>
        <w:tabs>
          <w:tab w:val="left" w:pos="1080"/>
        </w:tabs>
        <w:ind w:left="1080"/>
        <w:jc w:val="both"/>
        <w:rPr>
          <w:sz w:val="22"/>
          <w:szCs w:val="22"/>
        </w:rPr>
      </w:pPr>
    </w:p>
    <w:bookmarkStart w:id="0" w:name="_MON_1396707253"/>
    <w:bookmarkEnd w:id="0"/>
    <w:bookmarkStart w:id="1" w:name="_MON_1396439693"/>
    <w:bookmarkEnd w:id="1"/>
    <w:p w:rsidR="00643BD5" w:rsidRPr="006E611C" w:rsidRDefault="00ED0FDF" w:rsidP="008A18FC">
      <w:pPr>
        <w:tabs>
          <w:tab w:val="left" w:pos="1080"/>
        </w:tabs>
        <w:ind w:left="1080"/>
        <w:jc w:val="both"/>
        <w:rPr>
          <w:b/>
          <w:bCs/>
          <w:sz w:val="22"/>
          <w:szCs w:val="22"/>
        </w:rPr>
      </w:pPr>
      <w:r w:rsidRPr="006E611C">
        <w:rPr>
          <w:b/>
          <w:bCs/>
          <w:sz w:val="22"/>
          <w:szCs w:val="22"/>
        </w:rPr>
        <w:object w:dxaOrig="8019" w:dyaOrig="3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158.25pt" o:ole="" fillcolor="window">
            <v:imagedata r:id="rId8" o:title=""/>
          </v:shape>
          <o:OLEObject Type="Embed" ProgID="Excel.Sheet.8" ShapeID="_x0000_i1025" DrawAspect="Content" ObjectID="_1406711583" r:id="rId9"/>
        </w:object>
      </w:r>
    </w:p>
    <w:p w:rsidR="00643BD5" w:rsidRPr="006E611C" w:rsidRDefault="00643BD5" w:rsidP="005155AF">
      <w:pPr>
        <w:tabs>
          <w:tab w:val="left" w:pos="1080"/>
        </w:tabs>
        <w:jc w:val="both"/>
        <w:rPr>
          <w:bCs/>
          <w:sz w:val="22"/>
          <w:szCs w:val="22"/>
        </w:rPr>
      </w:pPr>
    </w:p>
    <w:p w:rsidR="00643BD5" w:rsidRPr="006E611C" w:rsidRDefault="00643BD5" w:rsidP="008A18FC">
      <w:pPr>
        <w:tabs>
          <w:tab w:val="left" w:pos="1080"/>
        </w:tabs>
        <w:ind w:left="1080"/>
        <w:jc w:val="both"/>
        <w:rPr>
          <w:bCs/>
          <w:sz w:val="22"/>
          <w:szCs w:val="22"/>
        </w:rPr>
      </w:pPr>
      <w:r w:rsidRPr="006E611C">
        <w:rPr>
          <w:bCs/>
          <w:sz w:val="22"/>
          <w:szCs w:val="22"/>
        </w:rPr>
        <w:t>*Steel coils</w:t>
      </w:r>
      <w:r w:rsidRPr="006E611C">
        <w:rPr>
          <w:bCs/>
          <w:sz w:val="22"/>
          <w:szCs w:val="22"/>
        </w:rPr>
        <w:tab/>
        <w:t xml:space="preserve">– cold rolled, </w:t>
      </w:r>
      <w:proofErr w:type="spellStart"/>
      <w:r w:rsidRPr="006E611C">
        <w:rPr>
          <w:bCs/>
          <w:sz w:val="22"/>
          <w:szCs w:val="22"/>
        </w:rPr>
        <w:t>galvani</w:t>
      </w:r>
      <w:r w:rsidR="00ED0FDF">
        <w:rPr>
          <w:bCs/>
          <w:sz w:val="22"/>
          <w:szCs w:val="22"/>
        </w:rPr>
        <w:t>s</w:t>
      </w:r>
      <w:r w:rsidRPr="006E611C">
        <w:rPr>
          <w:bCs/>
          <w:sz w:val="22"/>
          <w:szCs w:val="22"/>
        </w:rPr>
        <w:t>ed</w:t>
      </w:r>
      <w:proofErr w:type="spellEnd"/>
      <w:r w:rsidRPr="006E611C">
        <w:rPr>
          <w:bCs/>
          <w:sz w:val="22"/>
          <w:szCs w:val="22"/>
        </w:rPr>
        <w:t xml:space="preserve"> &amp; pre-painted </w:t>
      </w:r>
      <w:proofErr w:type="spellStart"/>
      <w:r w:rsidRPr="006E611C">
        <w:rPr>
          <w:bCs/>
          <w:sz w:val="22"/>
          <w:szCs w:val="22"/>
        </w:rPr>
        <w:t>galvanised</w:t>
      </w:r>
      <w:proofErr w:type="spellEnd"/>
      <w:r w:rsidRPr="006E611C">
        <w:rPr>
          <w:bCs/>
          <w:sz w:val="22"/>
          <w:szCs w:val="22"/>
        </w:rPr>
        <w:t xml:space="preserve"> steel coils</w:t>
      </w:r>
    </w:p>
    <w:p w:rsidR="00643BD5" w:rsidRPr="006E611C" w:rsidRDefault="00643BD5" w:rsidP="008A18FC">
      <w:pPr>
        <w:tabs>
          <w:tab w:val="left" w:pos="1080"/>
        </w:tabs>
        <w:ind w:left="1080"/>
        <w:jc w:val="both"/>
        <w:rPr>
          <w:bCs/>
          <w:sz w:val="22"/>
          <w:szCs w:val="22"/>
        </w:rPr>
      </w:pPr>
    </w:p>
    <w:p w:rsidR="00643BD5" w:rsidRPr="006E611C" w:rsidRDefault="00643BD5" w:rsidP="006D59E7">
      <w:pPr>
        <w:jc w:val="both"/>
        <w:rPr>
          <w:b/>
          <w:bCs/>
          <w:sz w:val="22"/>
          <w:szCs w:val="22"/>
        </w:rPr>
      </w:pPr>
    </w:p>
    <w:p w:rsidR="00643BD5" w:rsidRPr="006E611C" w:rsidRDefault="00643BD5" w:rsidP="008A18FC">
      <w:pPr>
        <w:ind w:left="1080" w:hanging="720"/>
        <w:jc w:val="both"/>
        <w:rPr>
          <w:b/>
          <w:bCs/>
          <w:sz w:val="22"/>
          <w:szCs w:val="22"/>
        </w:rPr>
      </w:pPr>
      <w:r w:rsidRPr="006E611C">
        <w:rPr>
          <w:b/>
          <w:bCs/>
          <w:sz w:val="22"/>
          <w:szCs w:val="22"/>
        </w:rPr>
        <w:t>A9.</w:t>
      </w:r>
      <w:r w:rsidRPr="006E611C">
        <w:rPr>
          <w:b/>
          <w:bCs/>
          <w:sz w:val="22"/>
          <w:szCs w:val="22"/>
        </w:rPr>
        <w:tab/>
        <w:t>Valuation of property, plant and equipment</w:t>
      </w:r>
    </w:p>
    <w:p w:rsidR="00643BD5" w:rsidRPr="006E611C" w:rsidRDefault="00643BD5" w:rsidP="008A18FC">
      <w:pPr>
        <w:jc w:val="both"/>
        <w:rPr>
          <w:b/>
          <w:bCs/>
          <w:sz w:val="22"/>
          <w:szCs w:val="22"/>
        </w:rPr>
      </w:pPr>
    </w:p>
    <w:p w:rsidR="00643BD5" w:rsidRPr="006E611C" w:rsidRDefault="00643BD5" w:rsidP="008A18FC">
      <w:pPr>
        <w:ind w:left="1080"/>
        <w:jc w:val="both"/>
        <w:rPr>
          <w:sz w:val="22"/>
          <w:szCs w:val="22"/>
        </w:rPr>
      </w:pPr>
      <w:r w:rsidRPr="006E611C">
        <w:rPr>
          <w:sz w:val="22"/>
          <w:szCs w:val="22"/>
        </w:rPr>
        <w:t>The property, plant and equipment are stated at cost less accumulated depreciation and impairment losses except for freehold land which</w:t>
      </w:r>
      <w:r w:rsidRPr="006E611C">
        <w:rPr>
          <w:bCs/>
          <w:sz w:val="22"/>
          <w:szCs w:val="22"/>
        </w:rPr>
        <w:t xml:space="preserve"> is stated at cost. </w:t>
      </w:r>
      <w:r w:rsidRPr="006E611C">
        <w:rPr>
          <w:sz w:val="22"/>
          <w:szCs w:val="22"/>
        </w:rPr>
        <w:t>There was no revaluation of property, plant and equipment for the current quarter and financial year to date.</w:t>
      </w:r>
    </w:p>
    <w:p w:rsidR="008272AA" w:rsidRDefault="008272AA" w:rsidP="008A18FC">
      <w:pPr>
        <w:pStyle w:val="BodyTextIndent3"/>
        <w:ind w:firstLine="0"/>
        <w:jc w:val="both"/>
        <w:rPr>
          <w:b w:val="0"/>
          <w:bCs w:val="0"/>
          <w:sz w:val="22"/>
          <w:szCs w:val="22"/>
        </w:rPr>
      </w:pPr>
    </w:p>
    <w:p w:rsidR="008272AA" w:rsidRPr="006E611C" w:rsidRDefault="008272AA" w:rsidP="008A18FC">
      <w:pPr>
        <w:pStyle w:val="BodyTextIndent3"/>
        <w:ind w:firstLine="0"/>
        <w:jc w:val="both"/>
        <w:rPr>
          <w:b w:val="0"/>
          <w:bCs w:val="0"/>
          <w:sz w:val="22"/>
          <w:szCs w:val="22"/>
        </w:rPr>
      </w:pPr>
    </w:p>
    <w:p w:rsidR="00643BD5" w:rsidRPr="006E611C" w:rsidRDefault="00643BD5" w:rsidP="008A18FC">
      <w:pPr>
        <w:tabs>
          <w:tab w:val="left" w:pos="1080"/>
        </w:tabs>
        <w:ind w:left="360"/>
        <w:jc w:val="both"/>
        <w:rPr>
          <w:b/>
          <w:bCs/>
          <w:sz w:val="22"/>
          <w:szCs w:val="22"/>
        </w:rPr>
      </w:pPr>
      <w:r w:rsidRPr="006E611C">
        <w:rPr>
          <w:b/>
          <w:bCs/>
          <w:sz w:val="22"/>
          <w:szCs w:val="22"/>
        </w:rPr>
        <w:t>A10.</w:t>
      </w:r>
      <w:r w:rsidRPr="006E611C">
        <w:rPr>
          <w:b/>
          <w:bCs/>
          <w:sz w:val="22"/>
          <w:szCs w:val="22"/>
        </w:rPr>
        <w:tab/>
        <w:t>Material events subsequent to the end of the interim period</w:t>
      </w:r>
    </w:p>
    <w:p w:rsidR="00643BD5" w:rsidRPr="006E611C" w:rsidRDefault="00643BD5" w:rsidP="008A18FC">
      <w:pPr>
        <w:pStyle w:val="BodyText"/>
        <w:ind w:left="1080"/>
        <w:jc w:val="both"/>
        <w:rPr>
          <w:i w:val="0"/>
          <w:iCs w:val="0"/>
          <w:sz w:val="22"/>
          <w:szCs w:val="22"/>
        </w:rPr>
      </w:pPr>
    </w:p>
    <w:p w:rsidR="00643BD5" w:rsidRPr="006E611C" w:rsidRDefault="00643BD5" w:rsidP="008A18FC">
      <w:pPr>
        <w:pStyle w:val="BodyText"/>
        <w:ind w:left="1080" w:hanging="720"/>
        <w:jc w:val="both"/>
        <w:rPr>
          <w:i w:val="0"/>
          <w:sz w:val="22"/>
          <w:szCs w:val="22"/>
        </w:rPr>
      </w:pPr>
      <w:r w:rsidRPr="006E611C">
        <w:rPr>
          <w:i w:val="0"/>
          <w:sz w:val="22"/>
          <w:szCs w:val="22"/>
        </w:rPr>
        <w:tab/>
      </w:r>
      <w:r w:rsidR="00ED0FDF" w:rsidRPr="00FB1F32">
        <w:rPr>
          <w:i w:val="0"/>
          <w:sz w:val="22"/>
          <w:szCs w:val="22"/>
        </w:rPr>
        <w:t>There w</w:t>
      </w:r>
      <w:r w:rsidR="00ED0FDF">
        <w:rPr>
          <w:i w:val="0"/>
          <w:sz w:val="22"/>
          <w:szCs w:val="22"/>
        </w:rPr>
        <w:t>as</w:t>
      </w:r>
      <w:r w:rsidR="00ED0FDF" w:rsidRPr="00FB1F32">
        <w:rPr>
          <w:i w:val="0"/>
          <w:sz w:val="22"/>
          <w:szCs w:val="22"/>
        </w:rPr>
        <w:t xml:space="preserve"> no material event subsequent to the end of the current quarter under review</w:t>
      </w:r>
      <w:r w:rsidR="00747672">
        <w:rPr>
          <w:i w:val="0"/>
          <w:sz w:val="22"/>
          <w:szCs w:val="22"/>
        </w:rPr>
        <w:t xml:space="preserve"> </w:t>
      </w:r>
    </w:p>
    <w:p w:rsidR="00643BD5" w:rsidRPr="006E611C" w:rsidRDefault="00643BD5" w:rsidP="008A18FC">
      <w:pPr>
        <w:pStyle w:val="BodyText"/>
        <w:jc w:val="both"/>
        <w:rPr>
          <w:b/>
          <w:bCs/>
          <w:i w:val="0"/>
          <w:iCs w:val="0"/>
          <w:sz w:val="22"/>
          <w:szCs w:val="22"/>
        </w:rPr>
      </w:pPr>
      <w:r w:rsidRPr="006E611C">
        <w:rPr>
          <w:b/>
          <w:bCs/>
          <w:i w:val="0"/>
          <w:iCs w:val="0"/>
          <w:sz w:val="22"/>
          <w:szCs w:val="22"/>
        </w:rPr>
        <w:t xml:space="preserve">               </w:t>
      </w:r>
    </w:p>
    <w:p w:rsidR="00643BD5" w:rsidRPr="006E611C" w:rsidRDefault="00643BD5" w:rsidP="008A18FC">
      <w:pPr>
        <w:pStyle w:val="BodyText"/>
        <w:jc w:val="both"/>
        <w:rPr>
          <w:b/>
          <w:bCs/>
          <w:i w:val="0"/>
          <w:iCs w:val="0"/>
          <w:sz w:val="22"/>
          <w:szCs w:val="22"/>
        </w:rPr>
      </w:pPr>
    </w:p>
    <w:p w:rsidR="00643BD5" w:rsidRPr="006E611C" w:rsidRDefault="00643BD5" w:rsidP="008A18FC">
      <w:pPr>
        <w:tabs>
          <w:tab w:val="left" w:pos="1080"/>
        </w:tabs>
        <w:ind w:left="360"/>
        <w:jc w:val="both"/>
        <w:rPr>
          <w:b/>
          <w:bCs/>
          <w:sz w:val="22"/>
          <w:szCs w:val="22"/>
        </w:rPr>
      </w:pPr>
      <w:r w:rsidRPr="006E611C">
        <w:rPr>
          <w:b/>
          <w:bCs/>
          <w:sz w:val="22"/>
          <w:szCs w:val="22"/>
        </w:rPr>
        <w:t>A11.</w:t>
      </w:r>
      <w:r w:rsidRPr="006E611C">
        <w:rPr>
          <w:b/>
          <w:bCs/>
          <w:sz w:val="22"/>
          <w:szCs w:val="22"/>
        </w:rPr>
        <w:tab/>
        <w:t>Changes in the composition of the Group</w:t>
      </w:r>
    </w:p>
    <w:p w:rsidR="00643BD5" w:rsidRPr="006E611C" w:rsidRDefault="00643BD5" w:rsidP="008C15D3">
      <w:pPr>
        <w:jc w:val="both"/>
        <w:rPr>
          <w:sz w:val="22"/>
          <w:szCs w:val="22"/>
        </w:rPr>
      </w:pPr>
    </w:p>
    <w:p w:rsidR="0036383F" w:rsidRPr="006E611C" w:rsidRDefault="0036383F" w:rsidP="0036383F">
      <w:pPr>
        <w:ind w:left="1080"/>
        <w:jc w:val="both"/>
        <w:rPr>
          <w:sz w:val="22"/>
          <w:szCs w:val="22"/>
        </w:rPr>
      </w:pPr>
      <w:r w:rsidRPr="006E611C">
        <w:rPr>
          <w:sz w:val="22"/>
          <w:szCs w:val="22"/>
        </w:rPr>
        <w:t>There were no changes in the composition of the Group during the current quarter under review.</w:t>
      </w:r>
    </w:p>
    <w:p w:rsidR="00643BD5" w:rsidRDefault="00643BD5" w:rsidP="00350347">
      <w:pPr>
        <w:autoSpaceDE/>
        <w:autoSpaceDN/>
        <w:rPr>
          <w:sz w:val="22"/>
          <w:szCs w:val="22"/>
        </w:rPr>
      </w:pPr>
    </w:p>
    <w:p w:rsidR="00753EE1" w:rsidRDefault="00753EE1" w:rsidP="00350347">
      <w:pPr>
        <w:autoSpaceDE/>
        <w:autoSpaceDN/>
        <w:rPr>
          <w:sz w:val="22"/>
          <w:szCs w:val="22"/>
        </w:rPr>
      </w:pPr>
    </w:p>
    <w:p w:rsidR="00C5597D" w:rsidRDefault="00C5597D" w:rsidP="00350347">
      <w:pPr>
        <w:autoSpaceDE/>
        <w:autoSpaceDN/>
        <w:rPr>
          <w:sz w:val="22"/>
          <w:szCs w:val="22"/>
        </w:rPr>
      </w:pPr>
    </w:p>
    <w:p w:rsidR="00C5597D" w:rsidRDefault="00C5597D" w:rsidP="00350347">
      <w:pPr>
        <w:autoSpaceDE/>
        <w:autoSpaceDN/>
        <w:rPr>
          <w:sz w:val="22"/>
          <w:szCs w:val="22"/>
        </w:rPr>
      </w:pPr>
    </w:p>
    <w:p w:rsidR="00C5597D" w:rsidRDefault="00C5597D" w:rsidP="00350347">
      <w:pPr>
        <w:autoSpaceDE/>
        <w:autoSpaceDN/>
        <w:rPr>
          <w:sz w:val="22"/>
          <w:szCs w:val="22"/>
        </w:rPr>
      </w:pPr>
    </w:p>
    <w:p w:rsidR="00C5597D" w:rsidRPr="006E611C" w:rsidRDefault="00C5597D" w:rsidP="00350347">
      <w:pPr>
        <w:autoSpaceDE/>
        <w:autoSpaceDN/>
        <w:rPr>
          <w:sz w:val="22"/>
          <w:szCs w:val="22"/>
        </w:rPr>
      </w:pPr>
    </w:p>
    <w:p w:rsidR="00643BD5" w:rsidRPr="006E611C" w:rsidRDefault="00643BD5" w:rsidP="008A18FC">
      <w:pPr>
        <w:tabs>
          <w:tab w:val="left" w:pos="1080"/>
        </w:tabs>
        <w:ind w:left="360"/>
        <w:jc w:val="both"/>
        <w:rPr>
          <w:sz w:val="22"/>
          <w:szCs w:val="22"/>
        </w:rPr>
      </w:pPr>
      <w:r w:rsidRPr="006E611C">
        <w:rPr>
          <w:b/>
          <w:bCs/>
          <w:sz w:val="22"/>
          <w:szCs w:val="22"/>
        </w:rPr>
        <w:t>A12.</w:t>
      </w:r>
      <w:r w:rsidRPr="006E611C">
        <w:rPr>
          <w:b/>
          <w:bCs/>
          <w:sz w:val="22"/>
          <w:szCs w:val="22"/>
        </w:rPr>
        <w:tab/>
        <w:t>Changes in contingent liabilities</w:t>
      </w:r>
    </w:p>
    <w:p w:rsidR="00643BD5" w:rsidRPr="006E611C" w:rsidRDefault="00643BD5" w:rsidP="008A18FC">
      <w:pPr>
        <w:jc w:val="both"/>
        <w:rPr>
          <w:sz w:val="22"/>
          <w:szCs w:val="22"/>
        </w:rPr>
      </w:pPr>
    </w:p>
    <w:p w:rsidR="00AD1949" w:rsidRDefault="00E827D7" w:rsidP="003251C8">
      <w:pPr>
        <w:pStyle w:val="BodyText"/>
        <w:ind w:left="1080"/>
        <w:jc w:val="both"/>
        <w:rPr>
          <w:i w:val="0"/>
          <w:sz w:val="22"/>
          <w:szCs w:val="22"/>
        </w:rPr>
      </w:pPr>
      <w:r>
        <w:rPr>
          <w:i w:val="0"/>
          <w:sz w:val="22"/>
          <w:szCs w:val="22"/>
        </w:rPr>
        <w:t>On 5</w:t>
      </w:r>
      <w:r w:rsidRPr="00E827D7">
        <w:rPr>
          <w:i w:val="0"/>
          <w:sz w:val="22"/>
          <w:szCs w:val="22"/>
          <w:vertAlign w:val="superscript"/>
        </w:rPr>
        <w:t>th</w:t>
      </w:r>
      <w:r>
        <w:rPr>
          <w:i w:val="0"/>
          <w:sz w:val="22"/>
          <w:szCs w:val="22"/>
        </w:rPr>
        <w:t xml:space="preserve"> June 2012</w:t>
      </w:r>
      <w:r w:rsidR="00C5597D">
        <w:rPr>
          <w:i w:val="0"/>
          <w:sz w:val="22"/>
          <w:szCs w:val="22"/>
        </w:rPr>
        <w:t>,</w:t>
      </w:r>
      <w:r>
        <w:rPr>
          <w:i w:val="0"/>
          <w:sz w:val="22"/>
          <w:szCs w:val="22"/>
        </w:rPr>
        <w:t xml:space="preserve"> </w:t>
      </w:r>
      <w:r w:rsidR="00ED0FDF">
        <w:rPr>
          <w:i w:val="0"/>
          <w:sz w:val="22"/>
          <w:szCs w:val="22"/>
        </w:rPr>
        <w:t xml:space="preserve">CSC Steel </w:t>
      </w:r>
      <w:proofErr w:type="spellStart"/>
      <w:r w:rsidR="00ED0FDF">
        <w:rPr>
          <w:i w:val="0"/>
          <w:sz w:val="22"/>
          <w:szCs w:val="22"/>
        </w:rPr>
        <w:t>Sdn</w:t>
      </w:r>
      <w:proofErr w:type="spellEnd"/>
      <w:r w:rsidR="00C5597D">
        <w:rPr>
          <w:i w:val="0"/>
          <w:sz w:val="22"/>
          <w:szCs w:val="22"/>
        </w:rPr>
        <w:t>.</w:t>
      </w:r>
      <w:r w:rsidR="00ED0FDF">
        <w:rPr>
          <w:i w:val="0"/>
          <w:sz w:val="22"/>
          <w:szCs w:val="22"/>
        </w:rPr>
        <w:t xml:space="preserve"> Bhd</w:t>
      </w:r>
      <w:r w:rsidR="00C5597D">
        <w:rPr>
          <w:i w:val="0"/>
          <w:sz w:val="22"/>
          <w:szCs w:val="22"/>
        </w:rPr>
        <w:t>.</w:t>
      </w:r>
      <w:r w:rsidR="00ED0FDF">
        <w:rPr>
          <w:i w:val="0"/>
          <w:sz w:val="22"/>
          <w:szCs w:val="22"/>
        </w:rPr>
        <w:t xml:space="preserve">, a wholly owned subsidiary company of the Group, has </w:t>
      </w:r>
      <w:r>
        <w:rPr>
          <w:i w:val="0"/>
          <w:sz w:val="22"/>
          <w:szCs w:val="22"/>
        </w:rPr>
        <w:t xml:space="preserve">submitted an Appeal to the Ministry of Finance under Section 14A of the Customs Act 1967 (‘the Act’) for full remission of customs duty of </w:t>
      </w:r>
      <w:r w:rsidR="00ED0FDF">
        <w:rPr>
          <w:i w:val="0"/>
          <w:sz w:val="22"/>
          <w:szCs w:val="22"/>
        </w:rPr>
        <w:t>RM8</w:t>
      </w:r>
      <w:proofErr w:type="gramStart"/>
      <w:r w:rsidR="00ED0FDF">
        <w:rPr>
          <w:i w:val="0"/>
          <w:sz w:val="22"/>
          <w:szCs w:val="22"/>
        </w:rPr>
        <w:t>,258,789.69</w:t>
      </w:r>
      <w:proofErr w:type="gramEnd"/>
      <w:r w:rsidR="00ED0FDF">
        <w:rPr>
          <w:i w:val="0"/>
          <w:sz w:val="22"/>
          <w:szCs w:val="22"/>
        </w:rPr>
        <w:t xml:space="preserve"> </w:t>
      </w:r>
      <w:r w:rsidR="00AD1949">
        <w:rPr>
          <w:i w:val="0"/>
          <w:sz w:val="22"/>
          <w:szCs w:val="22"/>
        </w:rPr>
        <w:t xml:space="preserve">imposed by Customs Malacca for alleged contravention of the conditions of duty exemption approval for </w:t>
      </w:r>
      <w:r w:rsidR="00ED0FDF">
        <w:rPr>
          <w:i w:val="0"/>
          <w:sz w:val="22"/>
          <w:szCs w:val="22"/>
        </w:rPr>
        <w:t xml:space="preserve">CSC Steel </w:t>
      </w:r>
      <w:proofErr w:type="spellStart"/>
      <w:r w:rsidR="00ED0FDF">
        <w:rPr>
          <w:i w:val="0"/>
          <w:sz w:val="22"/>
          <w:szCs w:val="22"/>
        </w:rPr>
        <w:t>Sdn</w:t>
      </w:r>
      <w:proofErr w:type="spellEnd"/>
      <w:r w:rsidR="00C5597D">
        <w:rPr>
          <w:i w:val="0"/>
          <w:sz w:val="22"/>
          <w:szCs w:val="22"/>
        </w:rPr>
        <w:t>.</w:t>
      </w:r>
      <w:r w:rsidR="00ED0FDF">
        <w:rPr>
          <w:i w:val="0"/>
          <w:sz w:val="22"/>
          <w:szCs w:val="22"/>
        </w:rPr>
        <w:t xml:space="preserve"> Bhd</w:t>
      </w:r>
      <w:r w:rsidR="00C5597D">
        <w:rPr>
          <w:i w:val="0"/>
          <w:sz w:val="22"/>
          <w:szCs w:val="22"/>
        </w:rPr>
        <w:t>.</w:t>
      </w:r>
      <w:r w:rsidR="00AD1949">
        <w:rPr>
          <w:i w:val="0"/>
          <w:sz w:val="22"/>
          <w:szCs w:val="22"/>
        </w:rPr>
        <w:t>’s importation of raw material from November 2009 to March 2010. The Appeal is still pending.</w:t>
      </w:r>
    </w:p>
    <w:p w:rsidR="00AD1949" w:rsidRDefault="00AD1949" w:rsidP="003251C8">
      <w:pPr>
        <w:pStyle w:val="BodyText"/>
        <w:ind w:left="1080"/>
        <w:jc w:val="both"/>
        <w:rPr>
          <w:i w:val="0"/>
          <w:sz w:val="22"/>
          <w:szCs w:val="22"/>
        </w:rPr>
      </w:pPr>
    </w:p>
    <w:p w:rsidR="00350347" w:rsidRPr="006E611C" w:rsidRDefault="00350347" w:rsidP="003251C8">
      <w:pPr>
        <w:pStyle w:val="BodyText"/>
        <w:ind w:left="1080"/>
        <w:jc w:val="both"/>
        <w:rPr>
          <w:b/>
          <w:bCs/>
          <w:i w:val="0"/>
          <w:iCs w:val="0"/>
          <w:sz w:val="22"/>
          <w:szCs w:val="22"/>
        </w:rPr>
      </w:pPr>
      <w:r w:rsidRPr="006E611C">
        <w:rPr>
          <w:b/>
          <w:bCs/>
          <w:i w:val="0"/>
          <w:iCs w:val="0"/>
          <w:sz w:val="22"/>
          <w:szCs w:val="22"/>
        </w:rPr>
        <w:t xml:space="preserve"> </w:t>
      </w:r>
    </w:p>
    <w:p w:rsidR="00643BD5" w:rsidRPr="006E611C" w:rsidRDefault="00643BD5" w:rsidP="008A18FC">
      <w:pPr>
        <w:pStyle w:val="BodyText"/>
        <w:jc w:val="both"/>
        <w:rPr>
          <w:b/>
          <w:bCs/>
          <w:i w:val="0"/>
          <w:iCs w:val="0"/>
          <w:sz w:val="22"/>
          <w:szCs w:val="22"/>
        </w:rPr>
      </w:pPr>
      <w:r w:rsidRPr="006E611C">
        <w:rPr>
          <w:b/>
          <w:bCs/>
          <w:i w:val="0"/>
          <w:iCs w:val="0"/>
          <w:sz w:val="22"/>
          <w:szCs w:val="22"/>
        </w:rPr>
        <w:t xml:space="preserve">      A13.     Capital commitments</w:t>
      </w:r>
    </w:p>
    <w:p w:rsidR="00643BD5" w:rsidRPr="006E611C" w:rsidRDefault="00643BD5" w:rsidP="008A18FC">
      <w:pPr>
        <w:pStyle w:val="BodyText"/>
        <w:ind w:left="1080" w:hanging="720"/>
        <w:jc w:val="both"/>
        <w:rPr>
          <w:i w:val="0"/>
          <w:iCs w:val="0"/>
          <w:sz w:val="22"/>
          <w:szCs w:val="22"/>
        </w:rPr>
      </w:pPr>
      <w:r w:rsidRPr="006E611C">
        <w:rPr>
          <w:sz w:val="22"/>
          <w:szCs w:val="22"/>
        </w:rPr>
        <w:tab/>
        <w:t xml:space="preserve"> </w:t>
      </w:r>
    </w:p>
    <w:tbl>
      <w:tblPr>
        <w:tblW w:w="0" w:type="auto"/>
        <w:tblInd w:w="1080" w:type="dxa"/>
        <w:tblLook w:val="01E0" w:firstRow="1" w:lastRow="1" w:firstColumn="1" w:lastColumn="1" w:noHBand="0" w:noVBand="0"/>
      </w:tblPr>
      <w:tblGrid>
        <w:gridCol w:w="3708"/>
        <w:gridCol w:w="1260"/>
      </w:tblGrid>
      <w:tr w:rsidR="00643BD5" w:rsidRPr="006E611C" w:rsidTr="00567D27">
        <w:tc>
          <w:tcPr>
            <w:tcW w:w="3708" w:type="dxa"/>
          </w:tcPr>
          <w:p w:rsidR="00643BD5" w:rsidRPr="006E611C" w:rsidRDefault="00643BD5" w:rsidP="008A18FC">
            <w:pPr>
              <w:widowControl w:val="0"/>
              <w:tabs>
                <w:tab w:val="left" w:pos="1080"/>
              </w:tabs>
              <w:jc w:val="both"/>
              <w:rPr>
                <w:rFonts w:eastAsia="Times New Roman"/>
                <w:sz w:val="22"/>
                <w:szCs w:val="22"/>
              </w:rPr>
            </w:pPr>
          </w:p>
        </w:tc>
        <w:tc>
          <w:tcPr>
            <w:tcW w:w="1260" w:type="dxa"/>
          </w:tcPr>
          <w:p w:rsidR="00643BD5" w:rsidRPr="006E611C" w:rsidRDefault="00643BD5" w:rsidP="00F149A8">
            <w:pPr>
              <w:widowControl w:val="0"/>
              <w:tabs>
                <w:tab w:val="left" w:pos="1080"/>
              </w:tabs>
              <w:jc w:val="center"/>
              <w:rPr>
                <w:rFonts w:eastAsia="Times New Roman"/>
                <w:sz w:val="22"/>
                <w:szCs w:val="22"/>
              </w:rPr>
            </w:pPr>
            <w:r w:rsidRPr="006E611C">
              <w:rPr>
                <w:iCs/>
                <w:sz w:val="22"/>
                <w:szCs w:val="22"/>
              </w:rPr>
              <w:t>RM’000</w:t>
            </w:r>
          </w:p>
        </w:tc>
      </w:tr>
      <w:tr w:rsidR="00643BD5" w:rsidRPr="006E611C" w:rsidTr="00567D27">
        <w:tc>
          <w:tcPr>
            <w:tcW w:w="3708" w:type="dxa"/>
          </w:tcPr>
          <w:p w:rsidR="00643BD5" w:rsidRPr="006E611C" w:rsidRDefault="00643BD5" w:rsidP="008A18FC">
            <w:pPr>
              <w:widowControl w:val="0"/>
              <w:tabs>
                <w:tab w:val="left" w:pos="1080"/>
              </w:tabs>
              <w:jc w:val="both"/>
              <w:rPr>
                <w:rFonts w:eastAsia="Times New Roman"/>
                <w:sz w:val="22"/>
                <w:szCs w:val="22"/>
              </w:rPr>
            </w:pPr>
          </w:p>
        </w:tc>
        <w:tc>
          <w:tcPr>
            <w:tcW w:w="1260" w:type="dxa"/>
          </w:tcPr>
          <w:p w:rsidR="00643BD5" w:rsidRPr="006E611C" w:rsidRDefault="00643BD5" w:rsidP="00F149A8">
            <w:pPr>
              <w:widowControl w:val="0"/>
              <w:tabs>
                <w:tab w:val="left" w:pos="1080"/>
              </w:tabs>
              <w:jc w:val="center"/>
              <w:rPr>
                <w:rFonts w:eastAsia="Times New Roman"/>
                <w:sz w:val="22"/>
                <w:szCs w:val="22"/>
              </w:rPr>
            </w:pPr>
          </w:p>
        </w:tc>
      </w:tr>
      <w:tr w:rsidR="00643BD5" w:rsidRPr="006E611C" w:rsidTr="00567D27">
        <w:tc>
          <w:tcPr>
            <w:tcW w:w="3708" w:type="dxa"/>
          </w:tcPr>
          <w:p w:rsidR="00643BD5" w:rsidRPr="006E611C" w:rsidRDefault="00643BD5" w:rsidP="008A18FC">
            <w:pPr>
              <w:widowControl w:val="0"/>
              <w:tabs>
                <w:tab w:val="left" w:pos="1080"/>
              </w:tabs>
              <w:jc w:val="both"/>
              <w:rPr>
                <w:rFonts w:eastAsia="Times New Roman"/>
                <w:sz w:val="22"/>
                <w:szCs w:val="22"/>
              </w:rPr>
            </w:pPr>
            <w:r w:rsidRPr="006E611C">
              <w:rPr>
                <w:iCs/>
                <w:sz w:val="22"/>
                <w:szCs w:val="22"/>
              </w:rPr>
              <w:t>Approved and contracted for</w:t>
            </w:r>
          </w:p>
        </w:tc>
        <w:tc>
          <w:tcPr>
            <w:tcW w:w="1260" w:type="dxa"/>
          </w:tcPr>
          <w:p w:rsidR="00643BD5" w:rsidRPr="006E611C" w:rsidRDefault="00113372" w:rsidP="00205F35">
            <w:pPr>
              <w:widowControl w:val="0"/>
              <w:tabs>
                <w:tab w:val="left" w:pos="1080"/>
              </w:tabs>
              <w:jc w:val="center"/>
              <w:rPr>
                <w:rFonts w:eastAsia="Times New Roman"/>
                <w:sz w:val="22"/>
                <w:szCs w:val="22"/>
              </w:rPr>
            </w:pPr>
            <w:r w:rsidRPr="006E611C">
              <w:rPr>
                <w:rFonts w:eastAsia="Times New Roman"/>
                <w:iCs/>
                <w:sz w:val="22"/>
                <w:szCs w:val="22"/>
              </w:rPr>
              <w:t xml:space="preserve">      </w:t>
            </w:r>
            <w:r w:rsidR="00205F35">
              <w:rPr>
                <w:rFonts w:eastAsia="Times New Roman"/>
                <w:iCs/>
                <w:sz w:val="22"/>
                <w:szCs w:val="22"/>
              </w:rPr>
              <w:t>5</w:t>
            </w:r>
            <w:r w:rsidR="0036383F" w:rsidRPr="006E611C">
              <w:rPr>
                <w:rFonts w:eastAsia="Times New Roman"/>
                <w:iCs/>
                <w:sz w:val="22"/>
                <w:szCs w:val="22"/>
              </w:rPr>
              <w:t>,</w:t>
            </w:r>
            <w:r w:rsidR="00205F35">
              <w:rPr>
                <w:rFonts w:eastAsia="Times New Roman"/>
                <w:iCs/>
                <w:sz w:val="22"/>
                <w:szCs w:val="22"/>
              </w:rPr>
              <w:t>059</w:t>
            </w:r>
          </w:p>
        </w:tc>
      </w:tr>
      <w:tr w:rsidR="00643BD5" w:rsidRPr="006E611C" w:rsidTr="00567D27">
        <w:tc>
          <w:tcPr>
            <w:tcW w:w="3708" w:type="dxa"/>
          </w:tcPr>
          <w:p w:rsidR="00643BD5" w:rsidRPr="006E611C" w:rsidRDefault="00643BD5" w:rsidP="008A18FC">
            <w:pPr>
              <w:widowControl w:val="0"/>
              <w:tabs>
                <w:tab w:val="left" w:pos="1080"/>
              </w:tabs>
              <w:jc w:val="both"/>
              <w:rPr>
                <w:rFonts w:eastAsia="Times New Roman"/>
                <w:sz w:val="22"/>
                <w:szCs w:val="22"/>
              </w:rPr>
            </w:pPr>
            <w:r w:rsidRPr="006E611C">
              <w:rPr>
                <w:iCs/>
                <w:sz w:val="22"/>
                <w:szCs w:val="22"/>
              </w:rPr>
              <w:t>Approved but not contracted for</w:t>
            </w:r>
          </w:p>
        </w:tc>
        <w:tc>
          <w:tcPr>
            <w:tcW w:w="1260" w:type="dxa"/>
          </w:tcPr>
          <w:p w:rsidR="00643BD5" w:rsidRPr="006E611C" w:rsidRDefault="00643BD5" w:rsidP="00205F35">
            <w:pPr>
              <w:widowControl w:val="0"/>
              <w:tabs>
                <w:tab w:val="left" w:pos="1080"/>
              </w:tabs>
              <w:jc w:val="center"/>
              <w:rPr>
                <w:rFonts w:eastAsia="Times New Roman"/>
                <w:sz w:val="22"/>
                <w:szCs w:val="22"/>
              </w:rPr>
            </w:pPr>
            <w:r w:rsidRPr="006E611C">
              <w:rPr>
                <w:iCs/>
                <w:sz w:val="22"/>
                <w:szCs w:val="22"/>
              </w:rPr>
              <w:t xml:space="preserve">    </w:t>
            </w:r>
            <w:r w:rsidR="00205F35">
              <w:rPr>
                <w:iCs/>
                <w:sz w:val="22"/>
                <w:szCs w:val="22"/>
              </w:rPr>
              <w:t>19</w:t>
            </w:r>
            <w:r w:rsidR="0036383F" w:rsidRPr="006E611C">
              <w:rPr>
                <w:iCs/>
                <w:sz w:val="22"/>
                <w:szCs w:val="22"/>
              </w:rPr>
              <w:t>,</w:t>
            </w:r>
            <w:r w:rsidR="00205F35">
              <w:rPr>
                <w:iCs/>
                <w:sz w:val="22"/>
                <w:szCs w:val="22"/>
              </w:rPr>
              <w:t>648</w:t>
            </w:r>
          </w:p>
        </w:tc>
      </w:tr>
      <w:tr w:rsidR="00643BD5" w:rsidRPr="006E611C" w:rsidTr="00567D27">
        <w:tc>
          <w:tcPr>
            <w:tcW w:w="3708" w:type="dxa"/>
          </w:tcPr>
          <w:p w:rsidR="00643BD5" w:rsidRPr="006E611C" w:rsidRDefault="00643BD5" w:rsidP="008A18FC">
            <w:pPr>
              <w:widowControl w:val="0"/>
              <w:tabs>
                <w:tab w:val="left" w:pos="1080"/>
              </w:tabs>
              <w:jc w:val="both"/>
              <w:rPr>
                <w:rFonts w:eastAsia="Times New Roman"/>
                <w:sz w:val="22"/>
                <w:szCs w:val="22"/>
              </w:rPr>
            </w:pPr>
          </w:p>
        </w:tc>
        <w:tc>
          <w:tcPr>
            <w:tcW w:w="1260" w:type="dxa"/>
            <w:tcBorders>
              <w:bottom w:val="single" w:sz="4" w:space="0" w:color="auto"/>
            </w:tcBorders>
          </w:tcPr>
          <w:p w:rsidR="00643BD5" w:rsidRPr="006E611C" w:rsidRDefault="00643BD5" w:rsidP="00295F0B">
            <w:pPr>
              <w:widowControl w:val="0"/>
              <w:tabs>
                <w:tab w:val="left" w:pos="1080"/>
              </w:tabs>
              <w:rPr>
                <w:rFonts w:eastAsia="Times New Roman"/>
                <w:sz w:val="22"/>
                <w:szCs w:val="22"/>
              </w:rPr>
            </w:pPr>
          </w:p>
        </w:tc>
      </w:tr>
      <w:tr w:rsidR="00643BD5" w:rsidRPr="006E611C" w:rsidTr="00567D27">
        <w:tc>
          <w:tcPr>
            <w:tcW w:w="3708" w:type="dxa"/>
          </w:tcPr>
          <w:p w:rsidR="00643BD5" w:rsidRPr="006E611C" w:rsidRDefault="00643BD5" w:rsidP="008A18FC">
            <w:pPr>
              <w:widowControl w:val="0"/>
              <w:tabs>
                <w:tab w:val="left" w:pos="1080"/>
              </w:tabs>
              <w:jc w:val="both"/>
              <w:rPr>
                <w:rFonts w:eastAsia="Times New Roman"/>
                <w:sz w:val="22"/>
                <w:szCs w:val="22"/>
              </w:rPr>
            </w:pPr>
          </w:p>
        </w:tc>
        <w:tc>
          <w:tcPr>
            <w:tcW w:w="1260" w:type="dxa"/>
            <w:tcBorders>
              <w:top w:val="single" w:sz="4" w:space="0" w:color="auto"/>
              <w:bottom w:val="double" w:sz="4" w:space="0" w:color="auto"/>
            </w:tcBorders>
          </w:tcPr>
          <w:p w:rsidR="00643BD5" w:rsidRPr="006E611C" w:rsidRDefault="00113372" w:rsidP="00205F35">
            <w:pPr>
              <w:widowControl w:val="0"/>
              <w:tabs>
                <w:tab w:val="left" w:pos="1080"/>
              </w:tabs>
              <w:rPr>
                <w:rFonts w:eastAsia="Times New Roman"/>
                <w:sz w:val="22"/>
                <w:szCs w:val="22"/>
              </w:rPr>
            </w:pPr>
            <w:r w:rsidRPr="006E611C">
              <w:rPr>
                <w:rFonts w:eastAsia="Times New Roman"/>
                <w:sz w:val="22"/>
                <w:szCs w:val="22"/>
              </w:rPr>
              <w:t xml:space="preserve">      </w:t>
            </w:r>
            <w:r w:rsidR="0036383F" w:rsidRPr="006E611C">
              <w:rPr>
                <w:rFonts w:eastAsia="Times New Roman"/>
                <w:sz w:val="22"/>
                <w:szCs w:val="22"/>
              </w:rPr>
              <w:t>2</w:t>
            </w:r>
            <w:r w:rsidR="00205F35">
              <w:rPr>
                <w:rFonts w:eastAsia="Times New Roman"/>
                <w:sz w:val="22"/>
                <w:szCs w:val="22"/>
              </w:rPr>
              <w:t>4</w:t>
            </w:r>
            <w:r w:rsidR="0036383F" w:rsidRPr="006E611C">
              <w:rPr>
                <w:rFonts w:eastAsia="Times New Roman"/>
                <w:sz w:val="22"/>
                <w:szCs w:val="22"/>
              </w:rPr>
              <w:t>,7</w:t>
            </w:r>
            <w:r w:rsidR="00205F35">
              <w:rPr>
                <w:rFonts w:eastAsia="Times New Roman"/>
                <w:sz w:val="22"/>
                <w:szCs w:val="22"/>
              </w:rPr>
              <w:t>07</w:t>
            </w:r>
          </w:p>
        </w:tc>
      </w:tr>
      <w:tr w:rsidR="00643BD5" w:rsidRPr="006E611C" w:rsidTr="00567D27">
        <w:tc>
          <w:tcPr>
            <w:tcW w:w="3708" w:type="dxa"/>
          </w:tcPr>
          <w:p w:rsidR="00643BD5" w:rsidRDefault="00643BD5" w:rsidP="008A18FC">
            <w:pPr>
              <w:widowControl w:val="0"/>
              <w:tabs>
                <w:tab w:val="left" w:pos="1080"/>
              </w:tabs>
              <w:jc w:val="both"/>
              <w:rPr>
                <w:rFonts w:eastAsia="Times New Roman"/>
                <w:sz w:val="22"/>
                <w:szCs w:val="22"/>
              </w:rPr>
            </w:pPr>
          </w:p>
          <w:p w:rsidR="00B36208" w:rsidRPr="006E611C" w:rsidRDefault="00B36208" w:rsidP="008A18FC">
            <w:pPr>
              <w:widowControl w:val="0"/>
              <w:tabs>
                <w:tab w:val="left" w:pos="1080"/>
              </w:tabs>
              <w:jc w:val="both"/>
              <w:rPr>
                <w:rFonts w:eastAsia="Times New Roman"/>
                <w:sz w:val="22"/>
                <w:szCs w:val="22"/>
              </w:rPr>
            </w:pPr>
          </w:p>
        </w:tc>
        <w:tc>
          <w:tcPr>
            <w:tcW w:w="1260" w:type="dxa"/>
            <w:tcBorders>
              <w:top w:val="double" w:sz="4" w:space="0" w:color="auto"/>
            </w:tcBorders>
          </w:tcPr>
          <w:p w:rsidR="00643BD5" w:rsidRPr="006E611C" w:rsidRDefault="00643BD5" w:rsidP="008A18FC">
            <w:pPr>
              <w:widowControl w:val="0"/>
              <w:tabs>
                <w:tab w:val="left" w:pos="1080"/>
              </w:tabs>
              <w:jc w:val="both"/>
              <w:rPr>
                <w:rFonts w:eastAsia="Times New Roman"/>
                <w:sz w:val="22"/>
                <w:szCs w:val="22"/>
              </w:rPr>
            </w:pPr>
          </w:p>
        </w:tc>
      </w:tr>
    </w:tbl>
    <w:p w:rsidR="00C5597D" w:rsidRDefault="00C5597D" w:rsidP="00A165FD">
      <w:pPr>
        <w:pStyle w:val="BodyText"/>
        <w:jc w:val="both"/>
        <w:rPr>
          <w:b/>
          <w:bCs/>
          <w:i w:val="0"/>
          <w:iCs w:val="0"/>
          <w:sz w:val="22"/>
          <w:szCs w:val="22"/>
        </w:rPr>
      </w:pPr>
    </w:p>
    <w:p w:rsidR="00753EE1" w:rsidRDefault="00643BD5" w:rsidP="00A165FD">
      <w:pPr>
        <w:pStyle w:val="BodyText"/>
        <w:jc w:val="both"/>
        <w:rPr>
          <w:b/>
          <w:bCs/>
          <w:i w:val="0"/>
          <w:iCs w:val="0"/>
          <w:sz w:val="22"/>
          <w:szCs w:val="22"/>
        </w:rPr>
      </w:pPr>
      <w:r w:rsidRPr="006E611C">
        <w:rPr>
          <w:b/>
          <w:bCs/>
          <w:i w:val="0"/>
          <w:iCs w:val="0"/>
          <w:sz w:val="22"/>
          <w:szCs w:val="22"/>
        </w:rPr>
        <w:t xml:space="preserve">      </w:t>
      </w:r>
    </w:p>
    <w:p w:rsidR="00C5597D" w:rsidRPr="006E611C" w:rsidRDefault="00C5597D" w:rsidP="00A165FD">
      <w:pPr>
        <w:pStyle w:val="BodyText"/>
        <w:jc w:val="both"/>
        <w:rPr>
          <w:b/>
          <w:bCs/>
          <w:i w:val="0"/>
          <w:iCs w:val="0"/>
          <w:sz w:val="22"/>
          <w:szCs w:val="22"/>
        </w:rPr>
      </w:pPr>
    </w:p>
    <w:p w:rsidR="00643BD5" w:rsidRPr="006E611C" w:rsidRDefault="00643BD5" w:rsidP="00B06737">
      <w:pPr>
        <w:pStyle w:val="Heading1"/>
        <w:ind w:hanging="1080"/>
        <w:jc w:val="both"/>
        <w:rPr>
          <w:sz w:val="22"/>
          <w:szCs w:val="22"/>
        </w:rPr>
      </w:pPr>
      <w:r w:rsidRPr="006E611C">
        <w:rPr>
          <w:sz w:val="22"/>
          <w:szCs w:val="22"/>
        </w:rPr>
        <w:t xml:space="preserve">PART B: </w:t>
      </w:r>
      <w:r w:rsidRPr="006E611C">
        <w:rPr>
          <w:sz w:val="22"/>
          <w:szCs w:val="22"/>
        </w:rPr>
        <w:tab/>
        <w:t xml:space="preserve">ADDITIONAL INFORMATION REQUIRED BY THE LISTING REQUIREMENTS OF BURSA SECURITIES </w:t>
      </w:r>
    </w:p>
    <w:p w:rsidR="00643BD5" w:rsidRPr="006E611C" w:rsidRDefault="00643BD5" w:rsidP="008A18FC">
      <w:pPr>
        <w:jc w:val="both"/>
        <w:rPr>
          <w:sz w:val="22"/>
          <w:szCs w:val="22"/>
        </w:rPr>
      </w:pPr>
    </w:p>
    <w:p w:rsidR="00643BD5" w:rsidRPr="006E611C" w:rsidRDefault="00643BD5" w:rsidP="008A18FC">
      <w:pPr>
        <w:jc w:val="both"/>
        <w:rPr>
          <w:sz w:val="22"/>
          <w:szCs w:val="22"/>
        </w:rPr>
      </w:pPr>
    </w:p>
    <w:p w:rsidR="00643BD5" w:rsidRPr="006E611C" w:rsidRDefault="00643BD5" w:rsidP="008A18FC">
      <w:pPr>
        <w:tabs>
          <w:tab w:val="left" w:pos="1080"/>
        </w:tabs>
        <w:ind w:left="1080" w:hanging="720"/>
        <w:jc w:val="both"/>
        <w:rPr>
          <w:b/>
          <w:bCs/>
          <w:sz w:val="22"/>
          <w:szCs w:val="22"/>
        </w:rPr>
      </w:pPr>
      <w:r w:rsidRPr="006E611C">
        <w:rPr>
          <w:b/>
          <w:bCs/>
          <w:sz w:val="22"/>
          <w:szCs w:val="22"/>
        </w:rPr>
        <w:t>B1.</w:t>
      </w:r>
      <w:r w:rsidRPr="006E611C">
        <w:rPr>
          <w:sz w:val="22"/>
          <w:szCs w:val="22"/>
        </w:rPr>
        <w:tab/>
      </w:r>
      <w:r w:rsidRPr="006E611C">
        <w:rPr>
          <w:b/>
          <w:bCs/>
          <w:sz w:val="22"/>
          <w:szCs w:val="22"/>
        </w:rPr>
        <w:t xml:space="preserve">Review of performance </w:t>
      </w:r>
    </w:p>
    <w:p w:rsidR="00643BD5" w:rsidRPr="006E611C" w:rsidRDefault="00643BD5" w:rsidP="008A18FC">
      <w:pPr>
        <w:tabs>
          <w:tab w:val="left" w:pos="1080"/>
        </w:tabs>
        <w:ind w:left="1080" w:hanging="1080"/>
        <w:jc w:val="both"/>
        <w:rPr>
          <w:sz w:val="22"/>
          <w:szCs w:val="22"/>
        </w:rPr>
      </w:pPr>
      <w:r w:rsidRPr="006E611C">
        <w:rPr>
          <w:sz w:val="22"/>
          <w:szCs w:val="22"/>
        </w:rPr>
        <w:tab/>
      </w:r>
    </w:p>
    <w:p w:rsidR="000B3D1A" w:rsidRPr="006E611C" w:rsidRDefault="00643BD5" w:rsidP="000B3D1A">
      <w:pPr>
        <w:ind w:left="1080"/>
        <w:jc w:val="both"/>
        <w:rPr>
          <w:sz w:val="22"/>
          <w:szCs w:val="22"/>
        </w:rPr>
      </w:pPr>
      <w:r w:rsidRPr="006E611C">
        <w:rPr>
          <w:sz w:val="22"/>
          <w:szCs w:val="22"/>
        </w:rPr>
        <w:t>The G</w:t>
      </w:r>
      <w:r w:rsidR="00BD57C6" w:rsidRPr="006E611C">
        <w:rPr>
          <w:sz w:val="22"/>
          <w:szCs w:val="22"/>
        </w:rPr>
        <w:t>roup achieved revenue and profit</w:t>
      </w:r>
      <w:r w:rsidRPr="006E611C">
        <w:rPr>
          <w:sz w:val="22"/>
          <w:szCs w:val="22"/>
        </w:rPr>
        <w:t xml:space="preserve"> before tax for the current quarter of RM</w:t>
      </w:r>
      <w:r w:rsidR="001B4699">
        <w:rPr>
          <w:sz w:val="22"/>
          <w:szCs w:val="22"/>
        </w:rPr>
        <w:t>308.6</w:t>
      </w:r>
      <w:r w:rsidR="000B3D1A" w:rsidRPr="006E611C">
        <w:rPr>
          <w:sz w:val="22"/>
          <w:szCs w:val="22"/>
        </w:rPr>
        <w:t xml:space="preserve"> million and RM</w:t>
      </w:r>
      <w:r w:rsidR="001B4699">
        <w:rPr>
          <w:sz w:val="22"/>
          <w:szCs w:val="22"/>
        </w:rPr>
        <w:t>14.4</w:t>
      </w:r>
      <w:r w:rsidRPr="006E611C">
        <w:rPr>
          <w:sz w:val="22"/>
          <w:szCs w:val="22"/>
        </w:rPr>
        <w:t xml:space="preserve"> million respectively. This represents a</w:t>
      </w:r>
      <w:r w:rsidR="001B4699">
        <w:rPr>
          <w:sz w:val="22"/>
          <w:szCs w:val="22"/>
        </w:rPr>
        <w:t>n</w:t>
      </w:r>
      <w:r w:rsidR="00D51E4E" w:rsidRPr="006E611C">
        <w:rPr>
          <w:sz w:val="22"/>
          <w:szCs w:val="22"/>
        </w:rPr>
        <w:t xml:space="preserve"> </w:t>
      </w:r>
      <w:r w:rsidR="001B4699">
        <w:rPr>
          <w:sz w:val="22"/>
          <w:szCs w:val="22"/>
        </w:rPr>
        <w:t>in</w:t>
      </w:r>
      <w:r w:rsidRPr="006E611C">
        <w:rPr>
          <w:sz w:val="22"/>
          <w:szCs w:val="22"/>
        </w:rPr>
        <w:t>crease of RM</w:t>
      </w:r>
      <w:r w:rsidR="001B4699">
        <w:rPr>
          <w:sz w:val="22"/>
          <w:szCs w:val="22"/>
        </w:rPr>
        <w:t>8.3</w:t>
      </w:r>
      <w:r w:rsidR="00C222E9" w:rsidRPr="006E611C">
        <w:rPr>
          <w:sz w:val="22"/>
          <w:szCs w:val="22"/>
        </w:rPr>
        <w:t xml:space="preserve"> million or </w:t>
      </w:r>
      <w:r w:rsidR="000B3D1A" w:rsidRPr="006E611C">
        <w:rPr>
          <w:sz w:val="22"/>
          <w:szCs w:val="22"/>
        </w:rPr>
        <w:t>2</w:t>
      </w:r>
      <w:r w:rsidR="001B4699">
        <w:rPr>
          <w:sz w:val="22"/>
          <w:szCs w:val="22"/>
        </w:rPr>
        <w:t>.8</w:t>
      </w:r>
      <w:r w:rsidRPr="006E611C">
        <w:rPr>
          <w:sz w:val="22"/>
          <w:szCs w:val="22"/>
        </w:rPr>
        <w:t xml:space="preserve">% </w:t>
      </w:r>
      <w:r w:rsidR="001B4699">
        <w:rPr>
          <w:sz w:val="22"/>
          <w:szCs w:val="22"/>
        </w:rPr>
        <w:t xml:space="preserve">higher </w:t>
      </w:r>
      <w:r w:rsidRPr="006E611C">
        <w:rPr>
          <w:sz w:val="22"/>
          <w:szCs w:val="22"/>
        </w:rPr>
        <w:t>in revenue than that of its corresponding quarter.</w:t>
      </w:r>
      <w:r w:rsidR="000B3D1A" w:rsidRPr="006E611C">
        <w:rPr>
          <w:sz w:val="22"/>
          <w:szCs w:val="22"/>
        </w:rPr>
        <w:t xml:space="preserve"> As a result of </w:t>
      </w:r>
      <w:r w:rsidR="000D7145">
        <w:rPr>
          <w:sz w:val="22"/>
          <w:szCs w:val="22"/>
        </w:rPr>
        <w:t xml:space="preserve">the </w:t>
      </w:r>
      <w:r w:rsidR="001B4699">
        <w:rPr>
          <w:sz w:val="22"/>
          <w:szCs w:val="22"/>
        </w:rPr>
        <w:t xml:space="preserve">higher </w:t>
      </w:r>
      <w:r w:rsidR="000B3D1A" w:rsidRPr="006E611C">
        <w:rPr>
          <w:sz w:val="22"/>
          <w:szCs w:val="22"/>
        </w:rPr>
        <w:t xml:space="preserve">revenue achieved, profit before tax </w:t>
      </w:r>
      <w:r w:rsidR="001B4699">
        <w:rPr>
          <w:sz w:val="22"/>
          <w:szCs w:val="22"/>
        </w:rPr>
        <w:t>in</w:t>
      </w:r>
      <w:r w:rsidR="000B3D1A" w:rsidRPr="006E611C">
        <w:rPr>
          <w:sz w:val="22"/>
          <w:szCs w:val="22"/>
        </w:rPr>
        <w:t>crease</w:t>
      </w:r>
      <w:r w:rsidR="000D7145">
        <w:rPr>
          <w:sz w:val="22"/>
          <w:szCs w:val="22"/>
        </w:rPr>
        <w:t>d</w:t>
      </w:r>
      <w:r w:rsidR="000B3D1A" w:rsidRPr="006E611C">
        <w:rPr>
          <w:sz w:val="22"/>
          <w:szCs w:val="22"/>
        </w:rPr>
        <w:t xml:space="preserve"> by RM</w:t>
      </w:r>
      <w:r w:rsidR="001B4699">
        <w:rPr>
          <w:sz w:val="22"/>
          <w:szCs w:val="22"/>
        </w:rPr>
        <w:t>6</w:t>
      </w:r>
      <w:r w:rsidR="000B3D1A" w:rsidRPr="006E611C">
        <w:rPr>
          <w:sz w:val="22"/>
          <w:szCs w:val="22"/>
        </w:rPr>
        <w:t xml:space="preserve">.1 million or </w:t>
      </w:r>
      <w:r w:rsidR="0066717A" w:rsidRPr="006E611C">
        <w:rPr>
          <w:sz w:val="22"/>
          <w:szCs w:val="22"/>
        </w:rPr>
        <w:t>7</w:t>
      </w:r>
      <w:r w:rsidR="001B4699">
        <w:rPr>
          <w:sz w:val="22"/>
          <w:szCs w:val="22"/>
        </w:rPr>
        <w:t>3</w:t>
      </w:r>
      <w:r w:rsidR="0066717A" w:rsidRPr="006E611C">
        <w:rPr>
          <w:sz w:val="22"/>
          <w:szCs w:val="22"/>
        </w:rPr>
        <w:t>.</w:t>
      </w:r>
      <w:r w:rsidR="001B4699">
        <w:rPr>
          <w:sz w:val="22"/>
          <w:szCs w:val="22"/>
        </w:rPr>
        <w:t>5</w:t>
      </w:r>
      <w:r w:rsidR="000B3D1A" w:rsidRPr="006E611C">
        <w:rPr>
          <w:sz w:val="22"/>
          <w:szCs w:val="22"/>
        </w:rPr>
        <w:t>% from RM</w:t>
      </w:r>
      <w:r w:rsidR="001B4699">
        <w:rPr>
          <w:sz w:val="22"/>
          <w:szCs w:val="22"/>
        </w:rPr>
        <w:t>8.</w:t>
      </w:r>
      <w:r w:rsidR="000B3D1A" w:rsidRPr="006E611C">
        <w:rPr>
          <w:sz w:val="22"/>
          <w:szCs w:val="22"/>
        </w:rPr>
        <w:t xml:space="preserve">3 million in the corresponding quarter. </w:t>
      </w:r>
    </w:p>
    <w:p w:rsidR="000F5DCE" w:rsidRPr="006E611C" w:rsidRDefault="000F5DCE" w:rsidP="00CB6536">
      <w:pPr>
        <w:ind w:left="1080"/>
        <w:jc w:val="both"/>
        <w:rPr>
          <w:sz w:val="22"/>
          <w:szCs w:val="22"/>
        </w:rPr>
      </w:pPr>
    </w:p>
    <w:p w:rsidR="00643BD5" w:rsidRPr="006E611C" w:rsidRDefault="00871CCA" w:rsidP="00586950">
      <w:pPr>
        <w:ind w:left="1080"/>
        <w:jc w:val="both"/>
        <w:rPr>
          <w:sz w:val="22"/>
          <w:szCs w:val="22"/>
        </w:rPr>
      </w:pPr>
      <w:r w:rsidRPr="006E611C">
        <w:rPr>
          <w:sz w:val="22"/>
          <w:szCs w:val="22"/>
        </w:rPr>
        <w:t>The</w:t>
      </w:r>
      <w:r w:rsidR="000B3D1A" w:rsidRPr="006E611C">
        <w:rPr>
          <w:sz w:val="22"/>
          <w:szCs w:val="22"/>
        </w:rPr>
        <w:t xml:space="preserve"> </w:t>
      </w:r>
      <w:r w:rsidR="001B4699">
        <w:rPr>
          <w:sz w:val="22"/>
          <w:szCs w:val="22"/>
        </w:rPr>
        <w:t>in</w:t>
      </w:r>
      <w:r w:rsidR="00643BD5" w:rsidRPr="006E611C">
        <w:rPr>
          <w:sz w:val="22"/>
          <w:szCs w:val="22"/>
        </w:rPr>
        <w:t xml:space="preserve">crease in revenue </w:t>
      </w:r>
      <w:r w:rsidR="000B3D1A" w:rsidRPr="006E611C">
        <w:rPr>
          <w:sz w:val="22"/>
          <w:szCs w:val="22"/>
        </w:rPr>
        <w:t xml:space="preserve">and profit before tax </w:t>
      </w:r>
      <w:r w:rsidR="000D7145">
        <w:rPr>
          <w:sz w:val="22"/>
          <w:szCs w:val="22"/>
        </w:rPr>
        <w:t>were</w:t>
      </w:r>
      <w:r w:rsidR="00643BD5" w:rsidRPr="006E611C">
        <w:rPr>
          <w:sz w:val="22"/>
          <w:szCs w:val="22"/>
        </w:rPr>
        <w:t xml:space="preserve"> due to </w:t>
      </w:r>
      <w:r w:rsidR="00E24D05">
        <w:rPr>
          <w:sz w:val="22"/>
          <w:szCs w:val="22"/>
        </w:rPr>
        <w:t xml:space="preserve">the </w:t>
      </w:r>
      <w:r w:rsidR="001B4699">
        <w:rPr>
          <w:sz w:val="22"/>
          <w:szCs w:val="22"/>
        </w:rPr>
        <w:t>in</w:t>
      </w:r>
      <w:r w:rsidRPr="006E611C">
        <w:rPr>
          <w:sz w:val="22"/>
          <w:szCs w:val="22"/>
        </w:rPr>
        <w:t xml:space="preserve">crease in </w:t>
      </w:r>
      <w:r w:rsidR="00590BF1" w:rsidRPr="006E611C">
        <w:rPr>
          <w:sz w:val="22"/>
          <w:szCs w:val="22"/>
        </w:rPr>
        <w:t xml:space="preserve">sale volume of </w:t>
      </w:r>
      <w:r w:rsidR="00E24D05">
        <w:rPr>
          <w:sz w:val="22"/>
          <w:szCs w:val="22"/>
        </w:rPr>
        <w:t xml:space="preserve">all </w:t>
      </w:r>
      <w:r w:rsidR="00590BF1" w:rsidRPr="006E611C">
        <w:rPr>
          <w:sz w:val="22"/>
          <w:szCs w:val="22"/>
        </w:rPr>
        <w:t>our steel products</w:t>
      </w:r>
      <w:r w:rsidR="00E24D05">
        <w:rPr>
          <w:sz w:val="22"/>
          <w:szCs w:val="22"/>
        </w:rPr>
        <w:t xml:space="preserve"> albeit at </w:t>
      </w:r>
      <w:r w:rsidR="001B4699">
        <w:rPr>
          <w:sz w:val="22"/>
          <w:szCs w:val="22"/>
        </w:rPr>
        <w:t>low</w:t>
      </w:r>
      <w:r w:rsidR="00E24D05">
        <w:rPr>
          <w:sz w:val="22"/>
          <w:szCs w:val="22"/>
        </w:rPr>
        <w:t>er average selling price</w:t>
      </w:r>
      <w:r w:rsidR="001B4699">
        <w:rPr>
          <w:sz w:val="22"/>
          <w:szCs w:val="22"/>
        </w:rPr>
        <w:t>s</w:t>
      </w:r>
      <w:r w:rsidR="00590BF1" w:rsidRPr="006E611C">
        <w:rPr>
          <w:sz w:val="22"/>
          <w:szCs w:val="22"/>
        </w:rPr>
        <w:t>.</w:t>
      </w:r>
      <w:r w:rsidRPr="006E611C">
        <w:rPr>
          <w:sz w:val="22"/>
          <w:szCs w:val="22"/>
        </w:rPr>
        <w:t xml:space="preserve">   </w:t>
      </w:r>
    </w:p>
    <w:p w:rsidR="00643BD5" w:rsidRPr="000D7145" w:rsidRDefault="00643BD5" w:rsidP="001E5FCD">
      <w:pPr>
        <w:tabs>
          <w:tab w:val="left" w:pos="1080"/>
        </w:tabs>
        <w:ind w:left="1080"/>
        <w:jc w:val="both"/>
        <w:rPr>
          <w:bCs/>
          <w:sz w:val="22"/>
          <w:szCs w:val="22"/>
          <w:u w:val="single"/>
        </w:rPr>
      </w:pPr>
    </w:p>
    <w:p w:rsidR="00643BD5" w:rsidRPr="006E611C" w:rsidRDefault="00643BD5" w:rsidP="005E06C9">
      <w:pPr>
        <w:tabs>
          <w:tab w:val="left" w:pos="1080"/>
        </w:tabs>
        <w:jc w:val="both"/>
        <w:rPr>
          <w:bCs/>
          <w:sz w:val="22"/>
          <w:szCs w:val="22"/>
        </w:rPr>
      </w:pPr>
    </w:p>
    <w:p w:rsidR="00643BD5" w:rsidRPr="006E611C" w:rsidRDefault="00643BD5" w:rsidP="005E06C9">
      <w:pPr>
        <w:tabs>
          <w:tab w:val="left" w:pos="1080"/>
        </w:tabs>
        <w:ind w:left="1080" w:hanging="720"/>
        <w:jc w:val="both"/>
        <w:rPr>
          <w:b/>
          <w:bCs/>
          <w:sz w:val="22"/>
          <w:szCs w:val="22"/>
        </w:rPr>
      </w:pPr>
      <w:r w:rsidRPr="006E611C">
        <w:rPr>
          <w:b/>
          <w:bCs/>
          <w:sz w:val="22"/>
          <w:szCs w:val="22"/>
        </w:rPr>
        <w:t>B2.</w:t>
      </w:r>
      <w:r w:rsidRPr="006E611C">
        <w:rPr>
          <w:b/>
          <w:sz w:val="22"/>
          <w:szCs w:val="22"/>
        </w:rPr>
        <w:tab/>
      </w:r>
      <w:r w:rsidRPr="006E611C">
        <w:rPr>
          <w:b/>
          <w:bCs/>
          <w:sz w:val="22"/>
          <w:szCs w:val="22"/>
        </w:rPr>
        <w:t>Variation of results against preceding quarter</w:t>
      </w:r>
      <w:r w:rsidRPr="006E611C">
        <w:rPr>
          <w:b/>
          <w:sz w:val="22"/>
          <w:szCs w:val="22"/>
        </w:rPr>
        <w:t xml:space="preserve"> </w:t>
      </w:r>
      <w:r w:rsidR="002F0EC9" w:rsidRPr="006E611C">
        <w:rPr>
          <w:b/>
          <w:sz w:val="22"/>
          <w:szCs w:val="22"/>
        </w:rPr>
        <w:t xml:space="preserve"> </w:t>
      </w:r>
    </w:p>
    <w:p w:rsidR="00643BD5" w:rsidRPr="006E611C" w:rsidRDefault="00643BD5" w:rsidP="005E06C9">
      <w:pPr>
        <w:jc w:val="both"/>
        <w:rPr>
          <w:sz w:val="22"/>
          <w:szCs w:val="22"/>
        </w:rPr>
      </w:pPr>
    </w:p>
    <w:p w:rsidR="00643BD5" w:rsidRPr="006E611C" w:rsidRDefault="00643BD5" w:rsidP="005E06C9">
      <w:pPr>
        <w:tabs>
          <w:tab w:val="left" w:pos="1080"/>
        </w:tabs>
        <w:ind w:left="1080" w:hanging="1080"/>
        <w:jc w:val="both"/>
        <w:rPr>
          <w:sz w:val="22"/>
          <w:szCs w:val="22"/>
        </w:rPr>
      </w:pPr>
      <w:r w:rsidRPr="006E611C">
        <w:rPr>
          <w:sz w:val="22"/>
          <w:szCs w:val="22"/>
        </w:rPr>
        <w:tab/>
        <w:t xml:space="preserve">The Group’s revenue has </w:t>
      </w:r>
      <w:r w:rsidR="001B4699">
        <w:rPr>
          <w:sz w:val="22"/>
          <w:szCs w:val="22"/>
        </w:rPr>
        <w:t>in</w:t>
      </w:r>
      <w:r w:rsidRPr="006E611C">
        <w:rPr>
          <w:sz w:val="22"/>
          <w:szCs w:val="22"/>
        </w:rPr>
        <w:t xml:space="preserve">creased by </w:t>
      </w:r>
      <w:r w:rsidR="00E24D05">
        <w:rPr>
          <w:sz w:val="22"/>
          <w:szCs w:val="22"/>
        </w:rPr>
        <w:t>2</w:t>
      </w:r>
      <w:r w:rsidR="001B4699">
        <w:rPr>
          <w:sz w:val="22"/>
          <w:szCs w:val="22"/>
        </w:rPr>
        <w:t>7</w:t>
      </w:r>
      <w:r w:rsidR="00E24D05">
        <w:rPr>
          <w:sz w:val="22"/>
          <w:szCs w:val="22"/>
        </w:rPr>
        <w:t>.</w:t>
      </w:r>
      <w:r w:rsidR="001B4699">
        <w:rPr>
          <w:sz w:val="22"/>
          <w:szCs w:val="22"/>
        </w:rPr>
        <w:t>4</w:t>
      </w:r>
      <w:r w:rsidRPr="006E611C">
        <w:rPr>
          <w:sz w:val="22"/>
          <w:szCs w:val="22"/>
        </w:rPr>
        <w:t>%, from RM</w:t>
      </w:r>
      <w:r w:rsidR="00A37B5D" w:rsidRPr="006E611C">
        <w:rPr>
          <w:sz w:val="22"/>
          <w:szCs w:val="22"/>
        </w:rPr>
        <w:t>2</w:t>
      </w:r>
      <w:r w:rsidR="001B4699">
        <w:rPr>
          <w:sz w:val="22"/>
          <w:szCs w:val="22"/>
        </w:rPr>
        <w:t>42</w:t>
      </w:r>
      <w:r w:rsidR="00A37B5D" w:rsidRPr="006E611C">
        <w:rPr>
          <w:sz w:val="22"/>
          <w:szCs w:val="22"/>
        </w:rPr>
        <w:t>.</w:t>
      </w:r>
      <w:r w:rsidR="001B4699">
        <w:rPr>
          <w:sz w:val="22"/>
          <w:szCs w:val="22"/>
        </w:rPr>
        <w:t>2</w:t>
      </w:r>
      <w:r w:rsidRPr="006E611C">
        <w:rPr>
          <w:sz w:val="22"/>
          <w:szCs w:val="22"/>
        </w:rPr>
        <w:t xml:space="preserve"> million in </w:t>
      </w:r>
      <w:r w:rsidR="00884C44" w:rsidRPr="006E611C">
        <w:rPr>
          <w:sz w:val="22"/>
          <w:szCs w:val="22"/>
        </w:rPr>
        <w:t>the preceding quarter to RM</w:t>
      </w:r>
      <w:r w:rsidR="001B4699">
        <w:rPr>
          <w:sz w:val="22"/>
          <w:szCs w:val="22"/>
        </w:rPr>
        <w:t>308.6</w:t>
      </w:r>
      <w:r w:rsidRPr="006E611C">
        <w:rPr>
          <w:sz w:val="22"/>
          <w:szCs w:val="22"/>
        </w:rPr>
        <w:t xml:space="preserve"> million this quarter.</w:t>
      </w:r>
      <w:r w:rsidR="00E26606" w:rsidRPr="006E611C">
        <w:rPr>
          <w:sz w:val="22"/>
          <w:szCs w:val="22"/>
        </w:rPr>
        <w:t xml:space="preserve"> </w:t>
      </w:r>
      <w:r w:rsidR="00D44995" w:rsidRPr="006E611C">
        <w:rPr>
          <w:sz w:val="22"/>
          <w:szCs w:val="22"/>
        </w:rPr>
        <w:t xml:space="preserve">The </w:t>
      </w:r>
      <w:r w:rsidR="001B4699">
        <w:rPr>
          <w:sz w:val="22"/>
          <w:szCs w:val="22"/>
        </w:rPr>
        <w:t>in</w:t>
      </w:r>
      <w:r w:rsidR="00D44995" w:rsidRPr="006E611C">
        <w:rPr>
          <w:sz w:val="22"/>
          <w:szCs w:val="22"/>
        </w:rPr>
        <w:t xml:space="preserve">crease in revenue </w:t>
      </w:r>
      <w:r w:rsidR="009D326E">
        <w:rPr>
          <w:sz w:val="22"/>
          <w:szCs w:val="22"/>
        </w:rPr>
        <w:t>was</w:t>
      </w:r>
      <w:r w:rsidR="00D44995" w:rsidRPr="006E611C">
        <w:rPr>
          <w:sz w:val="22"/>
          <w:szCs w:val="22"/>
        </w:rPr>
        <w:t xml:space="preserve"> primarily due to </w:t>
      </w:r>
      <w:r w:rsidR="009D326E">
        <w:rPr>
          <w:sz w:val="22"/>
          <w:szCs w:val="22"/>
        </w:rPr>
        <w:t xml:space="preserve">the </w:t>
      </w:r>
      <w:r w:rsidR="001B4699">
        <w:rPr>
          <w:sz w:val="22"/>
          <w:szCs w:val="22"/>
        </w:rPr>
        <w:t>significantly higher</w:t>
      </w:r>
      <w:r w:rsidR="00090115" w:rsidRPr="006E611C">
        <w:rPr>
          <w:sz w:val="22"/>
          <w:szCs w:val="22"/>
        </w:rPr>
        <w:t xml:space="preserve"> sales volume </w:t>
      </w:r>
      <w:r w:rsidR="00650C59" w:rsidRPr="006E611C">
        <w:rPr>
          <w:sz w:val="22"/>
          <w:szCs w:val="22"/>
        </w:rPr>
        <w:t xml:space="preserve">and </w:t>
      </w:r>
      <w:r w:rsidR="009D326E">
        <w:rPr>
          <w:sz w:val="22"/>
          <w:szCs w:val="22"/>
        </w:rPr>
        <w:t xml:space="preserve">the </w:t>
      </w:r>
      <w:r w:rsidR="001B4699">
        <w:rPr>
          <w:sz w:val="22"/>
          <w:szCs w:val="22"/>
        </w:rPr>
        <w:t xml:space="preserve">marginal increase in </w:t>
      </w:r>
      <w:r w:rsidR="009D326E">
        <w:rPr>
          <w:sz w:val="22"/>
          <w:szCs w:val="22"/>
        </w:rPr>
        <w:t xml:space="preserve">the </w:t>
      </w:r>
      <w:r w:rsidR="001B4699">
        <w:rPr>
          <w:sz w:val="22"/>
          <w:szCs w:val="22"/>
        </w:rPr>
        <w:t xml:space="preserve">average </w:t>
      </w:r>
      <w:r w:rsidR="00650C59" w:rsidRPr="006E611C">
        <w:rPr>
          <w:sz w:val="22"/>
          <w:szCs w:val="22"/>
        </w:rPr>
        <w:t xml:space="preserve">selling prices </w:t>
      </w:r>
      <w:r w:rsidR="00090115" w:rsidRPr="006E611C">
        <w:rPr>
          <w:sz w:val="22"/>
          <w:szCs w:val="22"/>
        </w:rPr>
        <w:t>of our steel products</w:t>
      </w:r>
      <w:r w:rsidR="00650C59" w:rsidRPr="006E611C">
        <w:rPr>
          <w:sz w:val="22"/>
          <w:szCs w:val="22"/>
        </w:rPr>
        <w:t>.</w:t>
      </w:r>
      <w:r w:rsidR="00292CAE" w:rsidRPr="006E611C">
        <w:rPr>
          <w:sz w:val="22"/>
          <w:szCs w:val="22"/>
        </w:rPr>
        <w:t xml:space="preserve"> </w:t>
      </w:r>
    </w:p>
    <w:p w:rsidR="00871CCA" w:rsidRPr="006E611C" w:rsidRDefault="00643BD5" w:rsidP="00292CAE">
      <w:pPr>
        <w:tabs>
          <w:tab w:val="left" w:pos="1080"/>
        </w:tabs>
        <w:ind w:left="1080" w:hanging="1080"/>
        <w:jc w:val="both"/>
        <w:rPr>
          <w:sz w:val="22"/>
          <w:szCs w:val="22"/>
        </w:rPr>
      </w:pPr>
      <w:r w:rsidRPr="006E611C">
        <w:rPr>
          <w:sz w:val="22"/>
          <w:szCs w:val="22"/>
        </w:rPr>
        <w:t xml:space="preserve"> </w:t>
      </w:r>
    </w:p>
    <w:p w:rsidR="00350347" w:rsidRPr="006E611C" w:rsidRDefault="001B4699" w:rsidP="00292CAE">
      <w:pPr>
        <w:ind w:left="1080"/>
        <w:jc w:val="both"/>
        <w:rPr>
          <w:sz w:val="22"/>
          <w:szCs w:val="22"/>
        </w:rPr>
      </w:pPr>
      <w:r>
        <w:rPr>
          <w:sz w:val="22"/>
          <w:szCs w:val="22"/>
        </w:rPr>
        <w:t xml:space="preserve">As a result, </w:t>
      </w:r>
      <w:r w:rsidR="009D326E">
        <w:rPr>
          <w:sz w:val="22"/>
          <w:szCs w:val="22"/>
        </w:rPr>
        <w:t xml:space="preserve">the </w:t>
      </w:r>
      <w:r>
        <w:rPr>
          <w:sz w:val="22"/>
          <w:szCs w:val="22"/>
        </w:rPr>
        <w:t>G</w:t>
      </w:r>
      <w:r w:rsidR="0066717A" w:rsidRPr="006E611C">
        <w:rPr>
          <w:sz w:val="22"/>
          <w:szCs w:val="22"/>
        </w:rPr>
        <w:t>roup’s profit before tax</w:t>
      </w:r>
      <w:r w:rsidR="00350347" w:rsidRPr="006E611C">
        <w:rPr>
          <w:sz w:val="22"/>
          <w:szCs w:val="22"/>
        </w:rPr>
        <w:t xml:space="preserve"> increase</w:t>
      </w:r>
      <w:r w:rsidR="009D326E">
        <w:rPr>
          <w:sz w:val="22"/>
          <w:szCs w:val="22"/>
        </w:rPr>
        <w:t>d</w:t>
      </w:r>
      <w:r w:rsidR="00350347" w:rsidRPr="006E611C">
        <w:rPr>
          <w:sz w:val="22"/>
          <w:szCs w:val="22"/>
        </w:rPr>
        <w:t xml:space="preserve"> by </w:t>
      </w:r>
      <w:r>
        <w:rPr>
          <w:sz w:val="22"/>
          <w:szCs w:val="22"/>
        </w:rPr>
        <w:t xml:space="preserve">RM6.6 million or 85.6% </w:t>
      </w:r>
      <w:r w:rsidR="00020274">
        <w:rPr>
          <w:sz w:val="22"/>
          <w:szCs w:val="22"/>
        </w:rPr>
        <w:t>to register RM14.4 million this quarter.</w:t>
      </w:r>
    </w:p>
    <w:p w:rsidR="00643BD5" w:rsidRPr="006E611C" w:rsidRDefault="00643BD5" w:rsidP="008A18FC">
      <w:pPr>
        <w:tabs>
          <w:tab w:val="left" w:pos="-540"/>
        </w:tabs>
        <w:jc w:val="both"/>
        <w:rPr>
          <w:sz w:val="22"/>
          <w:szCs w:val="22"/>
        </w:rPr>
      </w:pPr>
    </w:p>
    <w:p w:rsidR="00A65302" w:rsidRDefault="00A65302" w:rsidP="008A18FC">
      <w:pPr>
        <w:tabs>
          <w:tab w:val="left" w:pos="-540"/>
        </w:tabs>
        <w:jc w:val="both"/>
        <w:rPr>
          <w:sz w:val="22"/>
          <w:szCs w:val="22"/>
        </w:rPr>
      </w:pPr>
    </w:p>
    <w:p w:rsidR="00C5597D" w:rsidRDefault="00C5597D" w:rsidP="008A18FC">
      <w:pPr>
        <w:tabs>
          <w:tab w:val="left" w:pos="-540"/>
        </w:tabs>
        <w:jc w:val="both"/>
        <w:rPr>
          <w:sz w:val="22"/>
          <w:szCs w:val="22"/>
        </w:rPr>
      </w:pPr>
    </w:p>
    <w:p w:rsidR="00C5597D" w:rsidRDefault="00C5597D" w:rsidP="008A18FC">
      <w:pPr>
        <w:tabs>
          <w:tab w:val="left" w:pos="-540"/>
        </w:tabs>
        <w:jc w:val="both"/>
        <w:rPr>
          <w:sz w:val="22"/>
          <w:szCs w:val="22"/>
        </w:rPr>
      </w:pPr>
    </w:p>
    <w:p w:rsidR="00C5597D" w:rsidRDefault="00C5597D" w:rsidP="008A18FC">
      <w:pPr>
        <w:tabs>
          <w:tab w:val="left" w:pos="-540"/>
        </w:tabs>
        <w:jc w:val="both"/>
        <w:rPr>
          <w:sz w:val="22"/>
          <w:szCs w:val="22"/>
        </w:rPr>
      </w:pPr>
    </w:p>
    <w:p w:rsidR="00C5597D" w:rsidRPr="006E611C" w:rsidRDefault="00C5597D" w:rsidP="008A18FC">
      <w:pPr>
        <w:tabs>
          <w:tab w:val="left" w:pos="-540"/>
        </w:tabs>
        <w:jc w:val="both"/>
        <w:rPr>
          <w:sz w:val="22"/>
          <w:szCs w:val="22"/>
        </w:rPr>
      </w:pPr>
    </w:p>
    <w:p w:rsidR="00643BD5" w:rsidRPr="006E611C" w:rsidRDefault="00643BD5" w:rsidP="008A18FC">
      <w:pPr>
        <w:tabs>
          <w:tab w:val="left" w:pos="1080"/>
        </w:tabs>
        <w:ind w:left="1080" w:hanging="720"/>
        <w:jc w:val="both"/>
        <w:rPr>
          <w:sz w:val="22"/>
          <w:szCs w:val="22"/>
        </w:rPr>
      </w:pPr>
      <w:r w:rsidRPr="006E611C">
        <w:rPr>
          <w:b/>
          <w:bCs/>
          <w:sz w:val="22"/>
          <w:szCs w:val="22"/>
        </w:rPr>
        <w:t>B3.</w:t>
      </w:r>
      <w:r w:rsidRPr="006E611C">
        <w:rPr>
          <w:sz w:val="22"/>
          <w:szCs w:val="22"/>
        </w:rPr>
        <w:tab/>
      </w:r>
      <w:r w:rsidRPr="006E611C">
        <w:rPr>
          <w:b/>
          <w:bCs/>
          <w:sz w:val="22"/>
          <w:szCs w:val="22"/>
        </w:rPr>
        <w:t>Current year prospects</w:t>
      </w:r>
      <w:r w:rsidRPr="006E611C">
        <w:rPr>
          <w:sz w:val="22"/>
          <w:szCs w:val="22"/>
        </w:rPr>
        <w:t xml:space="preserve">   </w:t>
      </w:r>
    </w:p>
    <w:p w:rsidR="00643BD5" w:rsidRDefault="00624F77" w:rsidP="00FB1F32">
      <w:pPr>
        <w:tabs>
          <w:tab w:val="left" w:pos="1080"/>
        </w:tabs>
        <w:ind w:left="1080" w:hanging="720"/>
        <w:jc w:val="both"/>
        <w:rPr>
          <w:sz w:val="22"/>
          <w:szCs w:val="22"/>
        </w:rPr>
      </w:pPr>
      <w:r>
        <w:rPr>
          <w:sz w:val="22"/>
          <w:szCs w:val="22"/>
        </w:rPr>
        <w:tab/>
      </w:r>
    </w:p>
    <w:p w:rsidR="004860B6" w:rsidRPr="004860B6" w:rsidRDefault="004860B6" w:rsidP="004860B6">
      <w:pPr>
        <w:snapToGrid w:val="0"/>
        <w:ind w:left="1080"/>
        <w:jc w:val="both"/>
        <w:rPr>
          <w:color w:val="000000"/>
          <w:sz w:val="22"/>
          <w:szCs w:val="22"/>
          <w:lang w:eastAsia="zh-CN"/>
        </w:rPr>
      </w:pPr>
      <w:r w:rsidRPr="004860B6">
        <w:rPr>
          <w:color w:val="000000"/>
          <w:sz w:val="22"/>
          <w:szCs w:val="22"/>
          <w:lang w:eastAsia="zh-CN"/>
        </w:rPr>
        <w:t xml:space="preserve">The domestic steel market sentiment was still relatively weak in the </w:t>
      </w:r>
      <w:r w:rsidR="00C5597D">
        <w:rPr>
          <w:color w:val="000000"/>
          <w:sz w:val="22"/>
          <w:szCs w:val="22"/>
          <w:lang w:eastAsia="zh-CN"/>
        </w:rPr>
        <w:t>2</w:t>
      </w:r>
      <w:r w:rsidR="00C5597D" w:rsidRPr="00C5597D">
        <w:rPr>
          <w:color w:val="000000"/>
          <w:sz w:val="22"/>
          <w:szCs w:val="22"/>
          <w:vertAlign w:val="superscript"/>
          <w:lang w:eastAsia="zh-CN"/>
        </w:rPr>
        <w:t>nd</w:t>
      </w:r>
      <w:r w:rsidR="00C5597D">
        <w:rPr>
          <w:color w:val="000000"/>
          <w:sz w:val="22"/>
          <w:szCs w:val="22"/>
          <w:lang w:eastAsia="zh-CN"/>
        </w:rPr>
        <w:t xml:space="preserve"> </w:t>
      </w:r>
      <w:r w:rsidRPr="004860B6">
        <w:rPr>
          <w:color w:val="000000"/>
          <w:sz w:val="22"/>
          <w:szCs w:val="22"/>
          <w:lang w:eastAsia="zh-CN"/>
        </w:rPr>
        <w:t>quarter</w:t>
      </w:r>
      <w:r>
        <w:rPr>
          <w:color w:val="000000"/>
          <w:sz w:val="22"/>
          <w:szCs w:val="22"/>
          <w:lang w:eastAsia="zh-CN"/>
        </w:rPr>
        <w:t xml:space="preserve"> </w:t>
      </w:r>
      <w:r w:rsidRPr="004860B6">
        <w:rPr>
          <w:color w:val="000000"/>
          <w:sz w:val="22"/>
          <w:szCs w:val="22"/>
          <w:lang w:eastAsia="zh-CN"/>
        </w:rPr>
        <w:t xml:space="preserve">due to the unfavorable external factors.  </w:t>
      </w:r>
      <w:r w:rsidR="00E827D7">
        <w:rPr>
          <w:color w:val="000000"/>
          <w:sz w:val="22"/>
          <w:szCs w:val="22"/>
          <w:lang w:eastAsia="zh-CN"/>
        </w:rPr>
        <w:t xml:space="preserve">Export sales volume doubled in </w:t>
      </w:r>
      <w:r w:rsidR="00C5597D">
        <w:rPr>
          <w:color w:val="000000"/>
          <w:sz w:val="22"/>
          <w:szCs w:val="22"/>
          <w:lang w:eastAsia="zh-CN"/>
        </w:rPr>
        <w:t>the 2</w:t>
      </w:r>
      <w:r w:rsidR="00C5597D" w:rsidRPr="00C5597D">
        <w:rPr>
          <w:color w:val="000000"/>
          <w:sz w:val="22"/>
          <w:szCs w:val="22"/>
          <w:vertAlign w:val="superscript"/>
          <w:lang w:eastAsia="zh-CN"/>
        </w:rPr>
        <w:t>nd</w:t>
      </w:r>
      <w:r w:rsidR="00C5597D">
        <w:rPr>
          <w:color w:val="000000"/>
          <w:sz w:val="22"/>
          <w:szCs w:val="22"/>
          <w:lang w:eastAsia="zh-CN"/>
        </w:rPr>
        <w:t xml:space="preserve"> </w:t>
      </w:r>
      <w:r w:rsidR="00E827D7">
        <w:rPr>
          <w:color w:val="000000"/>
          <w:sz w:val="22"/>
          <w:szCs w:val="22"/>
          <w:lang w:eastAsia="zh-CN"/>
        </w:rPr>
        <w:t xml:space="preserve">quarter compared to </w:t>
      </w:r>
      <w:r w:rsidR="00C5597D">
        <w:rPr>
          <w:color w:val="000000"/>
          <w:sz w:val="22"/>
          <w:szCs w:val="22"/>
          <w:lang w:eastAsia="zh-CN"/>
        </w:rPr>
        <w:t>the 1</w:t>
      </w:r>
      <w:r w:rsidR="00C5597D" w:rsidRPr="00C5597D">
        <w:rPr>
          <w:color w:val="000000"/>
          <w:sz w:val="22"/>
          <w:szCs w:val="22"/>
          <w:vertAlign w:val="superscript"/>
          <w:lang w:eastAsia="zh-CN"/>
        </w:rPr>
        <w:t>st</w:t>
      </w:r>
      <w:r w:rsidR="00C5597D">
        <w:rPr>
          <w:color w:val="000000"/>
          <w:sz w:val="22"/>
          <w:szCs w:val="22"/>
          <w:lang w:eastAsia="zh-CN"/>
        </w:rPr>
        <w:t xml:space="preserve"> </w:t>
      </w:r>
      <w:r w:rsidR="00E827D7">
        <w:rPr>
          <w:color w:val="000000"/>
          <w:sz w:val="22"/>
          <w:szCs w:val="22"/>
          <w:lang w:eastAsia="zh-CN"/>
        </w:rPr>
        <w:t xml:space="preserve">quarter </w:t>
      </w:r>
      <w:r w:rsidR="00C5597D">
        <w:rPr>
          <w:color w:val="000000"/>
          <w:sz w:val="22"/>
          <w:szCs w:val="22"/>
          <w:lang w:eastAsia="zh-CN"/>
        </w:rPr>
        <w:t xml:space="preserve">of </w:t>
      </w:r>
      <w:r w:rsidR="00E827D7">
        <w:rPr>
          <w:color w:val="000000"/>
          <w:sz w:val="22"/>
          <w:szCs w:val="22"/>
          <w:lang w:eastAsia="zh-CN"/>
        </w:rPr>
        <w:t>2012 whilst domestic sales volume registered a much lower percentage increase compared to</w:t>
      </w:r>
      <w:r w:rsidR="009D326E">
        <w:rPr>
          <w:color w:val="000000"/>
          <w:sz w:val="22"/>
          <w:szCs w:val="22"/>
          <w:lang w:eastAsia="zh-CN"/>
        </w:rPr>
        <w:t xml:space="preserve"> the</w:t>
      </w:r>
      <w:r w:rsidR="00E827D7">
        <w:rPr>
          <w:color w:val="000000"/>
          <w:sz w:val="22"/>
          <w:szCs w:val="22"/>
          <w:lang w:eastAsia="zh-CN"/>
        </w:rPr>
        <w:t xml:space="preserve"> </w:t>
      </w:r>
      <w:r w:rsidR="00C5597D">
        <w:rPr>
          <w:color w:val="000000"/>
          <w:sz w:val="22"/>
          <w:szCs w:val="22"/>
          <w:lang w:eastAsia="zh-CN"/>
        </w:rPr>
        <w:t>1</w:t>
      </w:r>
      <w:r w:rsidR="00C5597D" w:rsidRPr="00C5597D">
        <w:rPr>
          <w:color w:val="000000"/>
          <w:sz w:val="22"/>
          <w:szCs w:val="22"/>
          <w:vertAlign w:val="superscript"/>
          <w:lang w:eastAsia="zh-CN"/>
        </w:rPr>
        <w:t>st</w:t>
      </w:r>
      <w:r w:rsidR="00C5597D">
        <w:rPr>
          <w:color w:val="000000"/>
          <w:sz w:val="22"/>
          <w:szCs w:val="22"/>
          <w:lang w:eastAsia="zh-CN"/>
        </w:rPr>
        <w:t xml:space="preserve"> </w:t>
      </w:r>
      <w:r w:rsidR="00E827D7">
        <w:rPr>
          <w:color w:val="000000"/>
          <w:sz w:val="22"/>
          <w:szCs w:val="22"/>
          <w:lang w:eastAsia="zh-CN"/>
        </w:rPr>
        <w:t xml:space="preserve">quarter </w:t>
      </w:r>
      <w:r w:rsidR="00C5597D">
        <w:rPr>
          <w:color w:val="000000"/>
          <w:sz w:val="22"/>
          <w:szCs w:val="22"/>
          <w:lang w:eastAsia="zh-CN"/>
        </w:rPr>
        <w:t>of</w:t>
      </w:r>
      <w:r w:rsidR="00E827D7">
        <w:rPr>
          <w:color w:val="000000"/>
          <w:sz w:val="22"/>
          <w:szCs w:val="22"/>
          <w:lang w:eastAsia="zh-CN"/>
        </w:rPr>
        <w:t xml:space="preserve"> 2012. The</w:t>
      </w:r>
      <w:r w:rsidRPr="004860B6">
        <w:rPr>
          <w:color w:val="000000"/>
          <w:sz w:val="22"/>
          <w:szCs w:val="22"/>
          <w:lang w:eastAsia="zh-CN"/>
        </w:rPr>
        <w:t xml:space="preserve"> Group had secured more orders in </w:t>
      </w:r>
      <w:r>
        <w:rPr>
          <w:color w:val="000000"/>
          <w:sz w:val="22"/>
          <w:szCs w:val="22"/>
          <w:lang w:eastAsia="zh-CN"/>
        </w:rPr>
        <w:t xml:space="preserve">the </w:t>
      </w:r>
      <w:r w:rsidR="00C5597D">
        <w:rPr>
          <w:color w:val="000000"/>
          <w:sz w:val="22"/>
          <w:szCs w:val="22"/>
          <w:lang w:eastAsia="zh-CN"/>
        </w:rPr>
        <w:t>2</w:t>
      </w:r>
      <w:r w:rsidR="00C5597D" w:rsidRPr="00C5597D">
        <w:rPr>
          <w:color w:val="000000"/>
          <w:sz w:val="22"/>
          <w:szCs w:val="22"/>
          <w:vertAlign w:val="superscript"/>
          <w:lang w:eastAsia="zh-CN"/>
        </w:rPr>
        <w:t>nd</w:t>
      </w:r>
      <w:r w:rsidR="00C5597D">
        <w:rPr>
          <w:color w:val="000000"/>
          <w:sz w:val="22"/>
          <w:szCs w:val="22"/>
          <w:lang w:eastAsia="zh-CN"/>
        </w:rPr>
        <w:t xml:space="preserve"> </w:t>
      </w:r>
      <w:r w:rsidRPr="004860B6">
        <w:rPr>
          <w:color w:val="000000"/>
          <w:sz w:val="22"/>
          <w:szCs w:val="22"/>
          <w:lang w:eastAsia="zh-CN"/>
        </w:rPr>
        <w:t>quarter, mainly due to the Group ha</w:t>
      </w:r>
      <w:r>
        <w:rPr>
          <w:color w:val="000000"/>
          <w:sz w:val="22"/>
          <w:szCs w:val="22"/>
          <w:lang w:eastAsia="zh-CN"/>
        </w:rPr>
        <w:t>ving</w:t>
      </w:r>
      <w:r w:rsidRPr="004860B6">
        <w:rPr>
          <w:color w:val="000000"/>
          <w:sz w:val="22"/>
          <w:szCs w:val="22"/>
          <w:lang w:eastAsia="zh-CN"/>
        </w:rPr>
        <w:t xml:space="preserve"> the advantage of preferential tariff under </w:t>
      </w:r>
      <w:proofErr w:type="spellStart"/>
      <w:r w:rsidRPr="004860B6">
        <w:rPr>
          <w:color w:val="000000"/>
          <w:sz w:val="22"/>
          <w:szCs w:val="22"/>
          <w:lang w:eastAsia="zh-CN"/>
        </w:rPr>
        <w:t>Asean</w:t>
      </w:r>
      <w:proofErr w:type="spellEnd"/>
      <w:r w:rsidRPr="004860B6">
        <w:rPr>
          <w:color w:val="000000"/>
          <w:sz w:val="22"/>
          <w:szCs w:val="22"/>
          <w:lang w:eastAsia="zh-CN"/>
        </w:rPr>
        <w:t xml:space="preserve"> Free Trade Area compared to Korea and Taiwan. However, steel prices, both domestically and internationally, remained stagnant as the unfavorable external factors had formed a strong barrier for the Group to pass on the increased cost.</w:t>
      </w:r>
    </w:p>
    <w:p w:rsidR="004860B6" w:rsidRPr="004860B6" w:rsidRDefault="004860B6" w:rsidP="004860B6">
      <w:pPr>
        <w:snapToGrid w:val="0"/>
        <w:jc w:val="both"/>
        <w:rPr>
          <w:color w:val="000000"/>
          <w:sz w:val="22"/>
          <w:szCs w:val="22"/>
          <w:lang w:eastAsia="zh-CN"/>
        </w:rPr>
      </w:pPr>
    </w:p>
    <w:p w:rsidR="004860B6" w:rsidRPr="004860B6" w:rsidRDefault="004860B6" w:rsidP="004860B6">
      <w:pPr>
        <w:snapToGrid w:val="0"/>
        <w:ind w:left="1080"/>
        <w:jc w:val="both"/>
        <w:rPr>
          <w:color w:val="000000"/>
          <w:sz w:val="22"/>
          <w:szCs w:val="22"/>
          <w:lang w:eastAsia="zh-CN"/>
        </w:rPr>
      </w:pPr>
      <w:r w:rsidRPr="004860B6">
        <w:rPr>
          <w:color w:val="000000"/>
          <w:sz w:val="22"/>
          <w:szCs w:val="22"/>
          <w:lang w:eastAsia="zh-CN"/>
        </w:rPr>
        <w:t>We forecast that sales in the 3</w:t>
      </w:r>
      <w:r w:rsidRPr="004860B6">
        <w:rPr>
          <w:color w:val="000000"/>
          <w:sz w:val="22"/>
          <w:szCs w:val="22"/>
          <w:vertAlign w:val="superscript"/>
          <w:lang w:eastAsia="zh-CN"/>
        </w:rPr>
        <w:t>rd</w:t>
      </w:r>
      <w:r w:rsidRPr="004860B6">
        <w:rPr>
          <w:color w:val="000000"/>
          <w:sz w:val="22"/>
          <w:szCs w:val="22"/>
          <w:lang w:eastAsia="zh-CN"/>
        </w:rPr>
        <w:t xml:space="preserve"> quarter will improve compare</w:t>
      </w:r>
      <w:r w:rsidR="009D326E">
        <w:rPr>
          <w:color w:val="000000"/>
          <w:sz w:val="22"/>
          <w:szCs w:val="22"/>
          <w:lang w:eastAsia="zh-CN"/>
        </w:rPr>
        <w:t>d</w:t>
      </w:r>
      <w:r w:rsidRPr="004860B6">
        <w:rPr>
          <w:color w:val="000000"/>
          <w:sz w:val="22"/>
          <w:szCs w:val="22"/>
          <w:lang w:eastAsia="zh-CN"/>
        </w:rPr>
        <w:t xml:space="preserve"> with the </w:t>
      </w:r>
      <w:r w:rsidR="009D326E">
        <w:rPr>
          <w:color w:val="000000"/>
          <w:sz w:val="22"/>
          <w:szCs w:val="22"/>
          <w:lang w:eastAsia="zh-CN"/>
        </w:rPr>
        <w:t>2</w:t>
      </w:r>
      <w:r w:rsidR="009D326E" w:rsidRPr="009D326E">
        <w:rPr>
          <w:color w:val="000000"/>
          <w:sz w:val="22"/>
          <w:szCs w:val="22"/>
          <w:vertAlign w:val="superscript"/>
          <w:lang w:eastAsia="zh-CN"/>
        </w:rPr>
        <w:t>nd</w:t>
      </w:r>
      <w:r w:rsidR="009D326E">
        <w:rPr>
          <w:color w:val="000000"/>
          <w:sz w:val="22"/>
          <w:szCs w:val="22"/>
          <w:lang w:eastAsia="zh-CN"/>
        </w:rPr>
        <w:t xml:space="preserve"> </w:t>
      </w:r>
      <w:r w:rsidRPr="004860B6">
        <w:rPr>
          <w:color w:val="000000"/>
          <w:sz w:val="22"/>
          <w:szCs w:val="22"/>
          <w:lang w:eastAsia="zh-CN"/>
        </w:rPr>
        <w:t xml:space="preserve">quarter as the downstream industries are likely to re-stock their inventory. </w:t>
      </w:r>
      <w:r w:rsidR="00E827D7">
        <w:rPr>
          <w:color w:val="000000"/>
          <w:sz w:val="22"/>
          <w:szCs w:val="22"/>
          <w:lang w:eastAsia="zh-CN"/>
        </w:rPr>
        <w:t xml:space="preserve">Although the prices of raw materials, such as iron ore and coal, have been softening lately, steel prices appear </w:t>
      </w:r>
      <w:bookmarkStart w:id="2" w:name="_GoBack"/>
      <w:bookmarkEnd w:id="2"/>
      <w:r w:rsidR="00E827D7">
        <w:rPr>
          <w:color w:val="000000"/>
          <w:sz w:val="22"/>
          <w:szCs w:val="22"/>
          <w:lang w:eastAsia="zh-CN"/>
        </w:rPr>
        <w:t>to be trending downwards as well.</w:t>
      </w:r>
      <w:r w:rsidRPr="004860B6">
        <w:rPr>
          <w:color w:val="000000"/>
          <w:sz w:val="22"/>
          <w:szCs w:val="22"/>
          <w:lang w:eastAsia="zh-CN"/>
        </w:rPr>
        <w:t xml:space="preserve">  </w:t>
      </w:r>
    </w:p>
    <w:p w:rsidR="004860B6" w:rsidRPr="004860B6" w:rsidRDefault="004860B6" w:rsidP="004860B6">
      <w:pPr>
        <w:snapToGrid w:val="0"/>
        <w:jc w:val="both"/>
        <w:rPr>
          <w:color w:val="000000"/>
          <w:sz w:val="22"/>
          <w:szCs w:val="22"/>
          <w:lang w:eastAsia="zh-CN"/>
        </w:rPr>
      </w:pPr>
    </w:p>
    <w:p w:rsidR="00624F77" w:rsidRDefault="004860B6" w:rsidP="003251C8">
      <w:pPr>
        <w:snapToGrid w:val="0"/>
        <w:ind w:left="1080"/>
        <w:jc w:val="both"/>
        <w:rPr>
          <w:color w:val="000000"/>
          <w:sz w:val="22"/>
          <w:szCs w:val="22"/>
          <w:lang w:eastAsia="zh-CN"/>
        </w:rPr>
      </w:pPr>
      <w:r w:rsidRPr="004860B6">
        <w:rPr>
          <w:color w:val="000000"/>
          <w:sz w:val="22"/>
          <w:szCs w:val="22"/>
          <w:lang w:eastAsia="zh-CN"/>
        </w:rPr>
        <w:t>Barring any unforeseen circumstances, the Group is cautiously optimistic on the performance of the Group in 2012.</w:t>
      </w:r>
    </w:p>
    <w:p w:rsidR="00C5597D" w:rsidRDefault="00C5597D" w:rsidP="003251C8">
      <w:pPr>
        <w:snapToGrid w:val="0"/>
        <w:ind w:left="1080"/>
        <w:jc w:val="both"/>
        <w:rPr>
          <w:color w:val="000000"/>
          <w:sz w:val="22"/>
          <w:szCs w:val="22"/>
          <w:lang w:eastAsia="zh-CN"/>
        </w:rPr>
      </w:pPr>
    </w:p>
    <w:p w:rsidR="00C5597D" w:rsidRPr="009F6856" w:rsidRDefault="00C5597D" w:rsidP="003251C8">
      <w:pPr>
        <w:snapToGrid w:val="0"/>
        <w:ind w:left="1080"/>
        <w:jc w:val="both"/>
      </w:pPr>
    </w:p>
    <w:p w:rsidR="00643BD5" w:rsidRPr="006E611C" w:rsidRDefault="00643BD5" w:rsidP="008A18FC">
      <w:pPr>
        <w:tabs>
          <w:tab w:val="left" w:pos="1080"/>
        </w:tabs>
        <w:ind w:left="1080" w:hanging="720"/>
        <w:jc w:val="both"/>
        <w:rPr>
          <w:sz w:val="22"/>
          <w:szCs w:val="22"/>
        </w:rPr>
      </w:pPr>
      <w:r w:rsidRPr="006E611C">
        <w:rPr>
          <w:b/>
          <w:bCs/>
          <w:sz w:val="22"/>
          <w:szCs w:val="22"/>
        </w:rPr>
        <w:t>B4.</w:t>
      </w:r>
      <w:r w:rsidRPr="006E611C">
        <w:rPr>
          <w:sz w:val="22"/>
          <w:szCs w:val="22"/>
        </w:rPr>
        <w:tab/>
      </w:r>
      <w:r w:rsidRPr="006E611C">
        <w:rPr>
          <w:b/>
          <w:bCs/>
          <w:sz w:val="22"/>
          <w:szCs w:val="22"/>
        </w:rPr>
        <w:t>Variance of actual and forecast profit</w:t>
      </w:r>
      <w:r w:rsidRPr="006E611C">
        <w:rPr>
          <w:sz w:val="22"/>
          <w:szCs w:val="22"/>
        </w:rPr>
        <w:t xml:space="preserve"> </w:t>
      </w:r>
    </w:p>
    <w:p w:rsidR="00643BD5" w:rsidRPr="006E611C" w:rsidRDefault="00643BD5" w:rsidP="008A18FC">
      <w:pPr>
        <w:tabs>
          <w:tab w:val="left" w:pos="1080"/>
        </w:tabs>
        <w:ind w:left="1080" w:hanging="720"/>
        <w:jc w:val="both"/>
        <w:rPr>
          <w:sz w:val="22"/>
          <w:szCs w:val="22"/>
        </w:rPr>
      </w:pPr>
    </w:p>
    <w:p w:rsidR="00643BD5" w:rsidRPr="006E611C" w:rsidRDefault="00643BD5" w:rsidP="00C20B9C">
      <w:pPr>
        <w:tabs>
          <w:tab w:val="left" w:pos="1080"/>
          <w:tab w:val="left" w:pos="3960"/>
        </w:tabs>
        <w:ind w:left="1080" w:hanging="1080"/>
        <w:jc w:val="both"/>
        <w:rPr>
          <w:sz w:val="22"/>
          <w:szCs w:val="22"/>
        </w:rPr>
      </w:pPr>
      <w:r w:rsidRPr="006E611C">
        <w:rPr>
          <w:sz w:val="22"/>
          <w:szCs w:val="22"/>
        </w:rPr>
        <w:tab/>
        <w:t>Not applicable as the Group does not make any profit forecast for current financial year.</w:t>
      </w:r>
    </w:p>
    <w:p w:rsidR="00643BD5" w:rsidRPr="006E611C" w:rsidRDefault="00643BD5" w:rsidP="008A18FC">
      <w:pPr>
        <w:tabs>
          <w:tab w:val="left" w:pos="1080"/>
        </w:tabs>
        <w:ind w:left="1080" w:hanging="720"/>
        <w:jc w:val="both"/>
        <w:rPr>
          <w:b/>
          <w:bCs/>
          <w:sz w:val="22"/>
          <w:szCs w:val="22"/>
        </w:rPr>
      </w:pPr>
    </w:p>
    <w:p w:rsidR="00C900CA" w:rsidRPr="006E611C" w:rsidRDefault="00C900CA" w:rsidP="008A18FC">
      <w:pPr>
        <w:tabs>
          <w:tab w:val="left" w:pos="1080"/>
        </w:tabs>
        <w:ind w:left="1080" w:hanging="720"/>
        <w:jc w:val="both"/>
        <w:rPr>
          <w:b/>
          <w:bCs/>
          <w:sz w:val="22"/>
          <w:szCs w:val="22"/>
        </w:rPr>
      </w:pPr>
    </w:p>
    <w:p w:rsidR="00643BD5" w:rsidRPr="006E611C" w:rsidRDefault="00643BD5" w:rsidP="008A18FC">
      <w:pPr>
        <w:tabs>
          <w:tab w:val="left" w:pos="1080"/>
        </w:tabs>
        <w:ind w:left="1080" w:hanging="720"/>
        <w:jc w:val="both"/>
        <w:rPr>
          <w:sz w:val="22"/>
          <w:szCs w:val="22"/>
        </w:rPr>
      </w:pPr>
      <w:r w:rsidRPr="006E611C">
        <w:rPr>
          <w:b/>
          <w:bCs/>
          <w:sz w:val="22"/>
          <w:szCs w:val="22"/>
        </w:rPr>
        <w:t>B5.</w:t>
      </w:r>
      <w:r w:rsidRPr="006E611C">
        <w:rPr>
          <w:sz w:val="22"/>
          <w:szCs w:val="22"/>
        </w:rPr>
        <w:tab/>
      </w:r>
      <w:r w:rsidRPr="006E611C">
        <w:rPr>
          <w:b/>
          <w:bCs/>
          <w:sz w:val="22"/>
          <w:szCs w:val="22"/>
        </w:rPr>
        <w:t>Tax expense</w:t>
      </w:r>
      <w:r w:rsidR="00264BBB" w:rsidRPr="006E611C">
        <w:rPr>
          <w:b/>
          <w:bCs/>
          <w:sz w:val="22"/>
          <w:szCs w:val="22"/>
        </w:rPr>
        <w:t>/ (</w:t>
      </w:r>
      <w:r w:rsidR="00FD183E" w:rsidRPr="006E611C">
        <w:rPr>
          <w:b/>
          <w:bCs/>
          <w:sz w:val="22"/>
          <w:szCs w:val="22"/>
        </w:rPr>
        <w:t>income)</w:t>
      </w:r>
      <w:r w:rsidRPr="006E611C">
        <w:rPr>
          <w:sz w:val="22"/>
          <w:szCs w:val="22"/>
        </w:rPr>
        <w:t xml:space="preserve"> </w:t>
      </w:r>
    </w:p>
    <w:p w:rsidR="00643BD5" w:rsidRPr="006E611C" w:rsidRDefault="00643BD5" w:rsidP="00017EDF">
      <w:pPr>
        <w:ind w:left="1080"/>
        <w:jc w:val="both"/>
        <w:rPr>
          <w:sz w:val="22"/>
          <w:szCs w:val="22"/>
        </w:rPr>
      </w:pPr>
    </w:p>
    <w:tbl>
      <w:tblPr>
        <w:tblW w:w="9236" w:type="dxa"/>
        <w:tblInd w:w="1188" w:type="dxa"/>
        <w:tblLayout w:type="fixed"/>
        <w:tblLook w:val="0000" w:firstRow="0" w:lastRow="0" w:firstColumn="0" w:lastColumn="0" w:noHBand="0" w:noVBand="0"/>
      </w:tblPr>
      <w:tblGrid>
        <w:gridCol w:w="2790"/>
        <w:gridCol w:w="180"/>
        <w:gridCol w:w="78"/>
        <w:gridCol w:w="1272"/>
        <w:gridCol w:w="113"/>
        <w:gridCol w:w="1957"/>
        <w:gridCol w:w="167"/>
        <w:gridCol w:w="283"/>
        <w:gridCol w:w="179"/>
        <w:gridCol w:w="1981"/>
        <w:gridCol w:w="236"/>
      </w:tblGrid>
      <w:tr w:rsidR="00CC5E44" w:rsidRPr="006E611C" w:rsidTr="005B17AB">
        <w:trPr>
          <w:gridAfter w:val="1"/>
          <w:wAfter w:w="236" w:type="dxa"/>
          <w:trHeight w:val="558"/>
        </w:trPr>
        <w:tc>
          <w:tcPr>
            <w:tcW w:w="3048" w:type="dxa"/>
            <w:gridSpan w:val="3"/>
            <w:tcBorders>
              <w:top w:val="nil"/>
              <w:left w:val="nil"/>
              <w:bottom w:val="nil"/>
              <w:right w:val="nil"/>
            </w:tcBorders>
            <w:vAlign w:val="bottom"/>
          </w:tcPr>
          <w:p w:rsidR="00CC5E44" w:rsidRPr="006E611C" w:rsidRDefault="00CC5E44" w:rsidP="004E03D6">
            <w:pPr>
              <w:jc w:val="both"/>
              <w:rPr>
                <w:sz w:val="22"/>
                <w:szCs w:val="22"/>
              </w:rPr>
            </w:pPr>
          </w:p>
        </w:tc>
        <w:tc>
          <w:tcPr>
            <w:tcW w:w="1385" w:type="dxa"/>
            <w:gridSpan w:val="2"/>
            <w:tcBorders>
              <w:top w:val="nil"/>
              <w:left w:val="nil"/>
              <w:bottom w:val="nil"/>
              <w:right w:val="nil"/>
            </w:tcBorders>
            <w:vAlign w:val="bottom"/>
          </w:tcPr>
          <w:p w:rsidR="00CC5E44" w:rsidRPr="006E611C" w:rsidRDefault="00CC5E44" w:rsidP="004E03D6">
            <w:pPr>
              <w:jc w:val="both"/>
              <w:rPr>
                <w:sz w:val="22"/>
                <w:szCs w:val="22"/>
              </w:rPr>
            </w:pPr>
          </w:p>
        </w:tc>
        <w:tc>
          <w:tcPr>
            <w:tcW w:w="2124" w:type="dxa"/>
            <w:gridSpan w:val="2"/>
            <w:tcBorders>
              <w:top w:val="nil"/>
              <w:left w:val="nil"/>
              <w:bottom w:val="nil"/>
              <w:right w:val="nil"/>
            </w:tcBorders>
            <w:vAlign w:val="bottom"/>
          </w:tcPr>
          <w:p w:rsidR="00CC5E44" w:rsidRPr="006E611C" w:rsidRDefault="00CC5E44" w:rsidP="004E03D6">
            <w:pPr>
              <w:jc w:val="center"/>
              <w:rPr>
                <w:b/>
                <w:sz w:val="22"/>
                <w:szCs w:val="22"/>
              </w:rPr>
            </w:pPr>
            <w:r w:rsidRPr="006E611C">
              <w:rPr>
                <w:b/>
                <w:sz w:val="22"/>
                <w:szCs w:val="22"/>
              </w:rPr>
              <w:t>Current</w:t>
            </w:r>
          </w:p>
          <w:p w:rsidR="00CC5E44" w:rsidRPr="006E611C" w:rsidRDefault="00CC5E44" w:rsidP="004643FE">
            <w:pPr>
              <w:jc w:val="center"/>
              <w:rPr>
                <w:b/>
                <w:sz w:val="22"/>
                <w:szCs w:val="22"/>
              </w:rPr>
            </w:pPr>
            <w:r w:rsidRPr="006E611C">
              <w:rPr>
                <w:b/>
                <w:sz w:val="22"/>
                <w:szCs w:val="22"/>
              </w:rPr>
              <w:t xml:space="preserve">quarter </w:t>
            </w:r>
          </w:p>
        </w:tc>
        <w:tc>
          <w:tcPr>
            <w:tcW w:w="462" w:type="dxa"/>
            <w:gridSpan w:val="2"/>
            <w:tcBorders>
              <w:top w:val="nil"/>
              <w:left w:val="nil"/>
              <w:bottom w:val="nil"/>
              <w:right w:val="nil"/>
            </w:tcBorders>
            <w:vAlign w:val="bottom"/>
          </w:tcPr>
          <w:p w:rsidR="00CC5E44" w:rsidRPr="006E611C" w:rsidRDefault="00CC5E44" w:rsidP="004E03D6">
            <w:pPr>
              <w:jc w:val="both"/>
              <w:rPr>
                <w:sz w:val="22"/>
                <w:szCs w:val="22"/>
              </w:rPr>
            </w:pPr>
          </w:p>
        </w:tc>
        <w:tc>
          <w:tcPr>
            <w:tcW w:w="1981" w:type="dxa"/>
            <w:tcBorders>
              <w:top w:val="nil"/>
              <w:left w:val="nil"/>
              <w:bottom w:val="nil"/>
              <w:right w:val="nil"/>
            </w:tcBorders>
            <w:vAlign w:val="bottom"/>
          </w:tcPr>
          <w:p w:rsidR="00CC5E44" w:rsidRPr="006E611C" w:rsidRDefault="00CC5E44" w:rsidP="004E03D6">
            <w:pPr>
              <w:jc w:val="center"/>
              <w:rPr>
                <w:b/>
                <w:bCs/>
                <w:sz w:val="22"/>
                <w:szCs w:val="22"/>
              </w:rPr>
            </w:pPr>
            <w:r w:rsidRPr="006E611C">
              <w:rPr>
                <w:b/>
                <w:bCs/>
                <w:sz w:val="22"/>
                <w:szCs w:val="22"/>
              </w:rPr>
              <w:t>Current</w:t>
            </w:r>
          </w:p>
          <w:p w:rsidR="00CC5E44" w:rsidRPr="006E611C" w:rsidRDefault="00CC5E44" w:rsidP="004E03D6">
            <w:pPr>
              <w:jc w:val="center"/>
              <w:rPr>
                <w:b/>
                <w:bCs/>
                <w:sz w:val="22"/>
                <w:szCs w:val="22"/>
              </w:rPr>
            </w:pPr>
            <w:r w:rsidRPr="006E611C">
              <w:rPr>
                <w:b/>
                <w:bCs/>
                <w:sz w:val="22"/>
                <w:szCs w:val="22"/>
              </w:rPr>
              <w:t>year-to-date</w:t>
            </w:r>
          </w:p>
        </w:tc>
      </w:tr>
      <w:tr w:rsidR="00CC5E44" w:rsidRPr="006E611C" w:rsidTr="005B17AB">
        <w:trPr>
          <w:gridAfter w:val="1"/>
          <w:wAfter w:w="236" w:type="dxa"/>
          <w:trHeight w:val="255"/>
        </w:trPr>
        <w:tc>
          <w:tcPr>
            <w:tcW w:w="6557" w:type="dxa"/>
            <w:gridSpan w:val="7"/>
            <w:tcBorders>
              <w:top w:val="nil"/>
              <w:left w:val="nil"/>
              <w:bottom w:val="nil"/>
              <w:right w:val="nil"/>
            </w:tcBorders>
            <w:vAlign w:val="bottom"/>
          </w:tcPr>
          <w:p w:rsidR="00CC5E44" w:rsidRPr="006E611C" w:rsidRDefault="00CC5E44" w:rsidP="004E03D6">
            <w:pPr>
              <w:jc w:val="both"/>
              <w:rPr>
                <w:b/>
                <w:sz w:val="22"/>
                <w:szCs w:val="22"/>
              </w:rPr>
            </w:pPr>
            <w:r w:rsidRPr="006E611C">
              <w:rPr>
                <w:sz w:val="22"/>
                <w:szCs w:val="22"/>
              </w:rPr>
              <w:t xml:space="preserve">                                                                                        </w:t>
            </w:r>
            <w:r w:rsidR="003B27E3" w:rsidRPr="006E611C">
              <w:rPr>
                <w:sz w:val="22"/>
                <w:szCs w:val="22"/>
              </w:rPr>
              <w:t xml:space="preserve">   </w:t>
            </w:r>
            <w:r w:rsidRPr="006E611C">
              <w:rPr>
                <w:b/>
                <w:sz w:val="22"/>
                <w:szCs w:val="22"/>
              </w:rPr>
              <w:t>RM’000</w:t>
            </w:r>
          </w:p>
        </w:tc>
        <w:tc>
          <w:tcPr>
            <w:tcW w:w="462" w:type="dxa"/>
            <w:gridSpan w:val="2"/>
            <w:tcBorders>
              <w:top w:val="nil"/>
              <w:left w:val="nil"/>
              <w:bottom w:val="nil"/>
              <w:right w:val="nil"/>
            </w:tcBorders>
            <w:vAlign w:val="bottom"/>
          </w:tcPr>
          <w:p w:rsidR="00CC5E44" w:rsidRPr="006E611C" w:rsidRDefault="00CC5E44" w:rsidP="004E03D6">
            <w:pPr>
              <w:jc w:val="both"/>
              <w:rPr>
                <w:sz w:val="22"/>
                <w:szCs w:val="22"/>
              </w:rPr>
            </w:pPr>
          </w:p>
        </w:tc>
        <w:tc>
          <w:tcPr>
            <w:tcW w:w="1981" w:type="dxa"/>
            <w:tcBorders>
              <w:top w:val="nil"/>
              <w:left w:val="nil"/>
              <w:bottom w:val="nil"/>
              <w:right w:val="nil"/>
            </w:tcBorders>
            <w:vAlign w:val="bottom"/>
          </w:tcPr>
          <w:p w:rsidR="00CC5E44" w:rsidRPr="006E611C" w:rsidRDefault="00CC5E44" w:rsidP="004E03D6">
            <w:pPr>
              <w:jc w:val="center"/>
              <w:rPr>
                <w:b/>
                <w:bCs/>
                <w:sz w:val="22"/>
                <w:szCs w:val="22"/>
              </w:rPr>
            </w:pPr>
            <w:r w:rsidRPr="006E611C">
              <w:rPr>
                <w:b/>
                <w:bCs/>
                <w:sz w:val="22"/>
                <w:szCs w:val="22"/>
              </w:rPr>
              <w:t>RM' 000</w:t>
            </w:r>
          </w:p>
        </w:tc>
      </w:tr>
      <w:tr w:rsidR="00CC5E44" w:rsidRPr="006E611C" w:rsidTr="005B17AB">
        <w:trPr>
          <w:gridAfter w:val="1"/>
          <w:wAfter w:w="236" w:type="dxa"/>
          <w:trHeight w:val="387"/>
        </w:trPr>
        <w:tc>
          <w:tcPr>
            <w:tcW w:w="3048" w:type="dxa"/>
            <w:gridSpan w:val="3"/>
            <w:tcBorders>
              <w:top w:val="nil"/>
              <w:left w:val="nil"/>
              <w:bottom w:val="nil"/>
              <w:right w:val="nil"/>
            </w:tcBorders>
            <w:vAlign w:val="bottom"/>
          </w:tcPr>
          <w:p w:rsidR="00CC5E44" w:rsidRPr="006E611C" w:rsidRDefault="00CC5E44" w:rsidP="004E03D6">
            <w:pPr>
              <w:jc w:val="both"/>
              <w:rPr>
                <w:sz w:val="22"/>
                <w:szCs w:val="22"/>
              </w:rPr>
            </w:pPr>
            <w:r w:rsidRPr="006E611C">
              <w:rPr>
                <w:sz w:val="22"/>
                <w:szCs w:val="22"/>
              </w:rPr>
              <w:t>Current:</w:t>
            </w:r>
          </w:p>
        </w:tc>
        <w:tc>
          <w:tcPr>
            <w:tcW w:w="1385" w:type="dxa"/>
            <w:gridSpan w:val="2"/>
            <w:tcBorders>
              <w:top w:val="nil"/>
              <w:left w:val="nil"/>
              <w:bottom w:val="nil"/>
              <w:right w:val="nil"/>
            </w:tcBorders>
            <w:vAlign w:val="bottom"/>
          </w:tcPr>
          <w:p w:rsidR="00CC5E44" w:rsidRPr="006E611C" w:rsidRDefault="00CC5E44" w:rsidP="004E03D6">
            <w:pPr>
              <w:jc w:val="both"/>
              <w:rPr>
                <w:sz w:val="22"/>
                <w:szCs w:val="22"/>
              </w:rPr>
            </w:pPr>
          </w:p>
        </w:tc>
        <w:tc>
          <w:tcPr>
            <w:tcW w:w="2124" w:type="dxa"/>
            <w:gridSpan w:val="2"/>
            <w:tcBorders>
              <w:top w:val="nil"/>
              <w:left w:val="nil"/>
              <w:bottom w:val="single" w:sz="4" w:space="0" w:color="auto"/>
              <w:right w:val="nil"/>
            </w:tcBorders>
            <w:vAlign w:val="bottom"/>
          </w:tcPr>
          <w:p w:rsidR="00CC5E44" w:rsidRPr="006E611C" w:rsidRDefault="00CC5E44" w:rsidP="004E03D6">
            <w:pPr>
              <w:jc w:val="both"/>
              <w:rPr>
                <w:sz w:val="22"/>
                <w:szCs w:val="22"/>
              </w:rPr>
            </w:pPr>
          </w:p>
        </w:tc>
        <w:tc>
          <w:tcPr>
            <w:tcW w:w="462" w:type="dxa"/>
            <w:gridSpan w:val="2"/>
            <w:tcBorders>
              <w:top w:val="nil"/>
              <w:left w:val="nil"/>
              <w:bottom w:val="single" w:sz="4" w:space="0" w:color="auto"/>
              <w:right w:val="nil"/>
            </w:tcBorders>
            <w:vAlign w:val="bottom"/>
          </w:tcPr>
          <w:p w:rsidR="00CC5E44" w:rsidRPr="006E611C" w:rsidRDefault="00CC5E44" w:rsidP="004E03D6">
            <w:pPr>
              <w:jc w:val="both"/>
              <w:rPr>
                <w:sz w:val="22"/>
                <w:szCs w:val="22"/>
              </w:rPr>
            </w:pPr>
          </w:p>
        </w:tc>
        <w:tc>
          <w:tcPr>
            <w:tcW w:w="1981" w:type="dxa"/>
            <w:tcBorders>
              <w:top w:val="nil"/>
              <w:left w:val="nil"/>
              <w:bottom w:val="single" w:sz="4" w:space="0" w:color="auto"/>
              <w:right w:val="nil"/>
            </w:tcBorders>
            <w:vAlign w:val="bottom"/>
          </w:tcPr>
          <w:p w:rsidR="00CC5E44" w:rsidRPr="006E611C" w:rsidRDefault="00CC5E44" w:rsidP="004E03D6">
            <w:pPr>
              <w:jc w:val="both"/>
              <w:rPr>
                <w:sz w:val="22"/>
                <w:szCs w:val="22"/>
              </w:rPr>
            </w:pPr>
          </w:p>
        </w:tc>
      </w:tr>
      <w:tr w:rsidR="00CC5E44" w:rsidRPr="006E611C" w:rsidTr="005B17AB">
        <w:trPr>
          <w:gridAfter w:val="1"/>
          <w:wAfter w:w="236" w:type="dxa"/>
          <w:trHeight w:val="387"/>
        </w:trPr>
        <w:tc>
          <w:tcPr>
            <w:tcW w:w="3048" w:type="dxa"/>
            <w:gridSpan w:val="3"/>
            <w:tcBorders>
              <w:top w:val="nil"/>
              <w:left w:val="nil"/>
              <w:bottom w:val="nil"/>
              <w:right w:val="nil"/>
            </w:tcBorders>
            <w:vAlign w:val="bottom"/>
          </w:tcPr>
          <w:p w:rsidR="00CC5E44" w:rsidRPr="006E611C" w:rsidRDefault="00CC5E44" w:rsidP="004E03D6">
            <w:pPr>
              <w:jc w:val="both"/>
              <w:rPr>
                <w:sz w:val="22"/>
                <w:szCs w:val="22"/>
              </w:rPr>
            </w:pPr>
            <w:r w:rsidRPr="006E611C">
              <w:rPr>
                <w:sz w:val="22"/>
                <w:szCs w:val="22"/>
              </w:rPr>
              <w:t>- Income tax</w:t>
            </w:r>
          </w:p>
        </w:tc>
        <w:tc>
          <w:tcPr>
            <w:tcW w:w="1385" w:type="dxa"/>
            <w:gridSpan w:val="2"/>
            <w:tcBorders>
              <w:top w:val="nil"/>
              <w:left w:val="nil"/>
              <w:bottom w:val="nil"/>
              <w:right w:val="single" w:sz="4" w:space="0" w:color="auto"/>
            </w:tcBorders>
            <w:vAlign w:val="bottom"/>
          </w:tcPr>
          <w:p w:rsidR="00CC5E44" w:rsidRPr="006E611C" w:rsidRDefault="00CC5E44" w:rsidP="004E03D6">
            <w:pPr>
              <w:jc w:val="both"/>
              <w:rPr>
                <w:sz w:val="22"/>
                <w:szCs w:val="22"/>
              </w:rPr>
            </w:pPr>
          </w:p>
        </w:tc>
        <w:tc>
          <w:tcPr>
            <w:tcW w:w="2124" w:type="dxa"/>
            <w:gridSpan w:val="2"/>
            <w:tcBorders>
              <w:top w:val="single" w:sz="4" w:space="0" w:color="auto"/>
              <w:left w:val="single" w:sz="4" w:space="0" w:color="auto"/>
              <w:bottom w:val="nil"/>
              <w:right w:val="nil"/>
            </w:tcBorders>
            <w:vAlign w:val="bottom"/>
          </w:tcPr>
          <w:p w:rsidR="00CC5E44" w:rsidRPr="006E611C" w:rsidRDefault="005B17AB" w:rsidP="00205F35">
            <w:pPr>
              <w:jc w:val="both"/>
              <w:rPr>
                <w:sz w:val="22"/>
                <w:szCs w:val="22"/>
              </w:rPr>
            </w:pPr>
            <w:r w:rsidRPr="006E611C">
              <w:rPr>
                <w:sz w:val="22"/>
                <w:szCs w:val="22"/>
              </w:rPr>
              <w:t xml:space="preserve">             </w:t>
            </w:r>
            <w:r w:rsidR="00CC5E44" w:rsidRPr="006E611C">
              <w:rPr>
                <w:sz w:val="22"/>
                <w:szCs w:val="22"/>
              </w:rPr>
              <w:t xml:space="preserve"> </w:t>
            </w:r>
            <w:r w:rsidR="006B4021" w:rsidRPr="006E611C">
              <w:rPr>
                <w:sz w:val="22"/>
                <w:szCs w:val="22"/>
              </w:rPr>
              <w:t xml:space="preserve"> </w:t>
            </w:r>
            <w:r w:rsidR="00205F35">
              <w:rPr>
                <w:sz w:val="22"/>
                <w:szCs w:val="22"/>
              </w:rPr>
              <w:t>4,515</w:t>
            </w:r>
          </w:p>
        </w:tc>
        <w:tc>
          <w:tcPr>
            <w:tcW w:w="462" w:type="dxa"/>
            <w:gridSpan w:val="2"/>
            <w:tcBorders>
              <w:top w:val="single" w:sz="4" w:space="0" w:color="auto"/>
              <w:left w:val="nil"/>
              <w:bottom w:val="nil"/>
              <w:right w:val="nil"/>
            </w:tcBorders>
            <w:vAlign w:val="bottom"/>
          </w:tcPr>
          <w:p w:rsidR="00CC5E44" w:rsidRPr="006E611C" w:rsidRDefault="00CC5E44" w:rsidP="004E03D6">
            <w:pPr>
              <w:jc w:val="both"/>
              <w:rPr>
                <w:sz w:val="22"/>
                <w:szCs w:val="22"/>
              </w:rPr>
            </w:pPr>
          </w:p>
        </w:tc>
        <w:tc>
          <w:tcPr>
            <w:tcW w:w="1981" w:type="dxa"/>
            <w:tcBorders>
              <w:top w:val="single" w:sz="4" w:space="0" w:color="auto"/>
              <w:left w:val="nil"/>
              <w:bottom w:val="nil"/>
              <w:right w:val="single" w:sz="4" w:space="0" w:color="auto"/>
            </w:tcBorders>
            <w:vAlign w:val="bottom"/>
          </w:tcPr>
          <w:p w:rsidR="00CC5E44" w:rsidRPr="006E611C" w:rsidRDefault="00CC5E44" w:rsidP="00205F35">
            <w:pPr>
              <w:jc w:val="both"/>
              <w:rPr>
                <w:sz w:val="22"/>
                <w:szCs w:val="22"/>
              </w:rPr>
            </w:pPr>
            <w:r w:rsidRPr="006E611C">
              <w:rPr>
                <w:sz w:val="22"/>
                <w:szCs w:val="22"/>
              </w:rPr>
              <w:t xml:space="preserve">              </w:t>
            </w:r>
            <w:r w:rsidR="00C04EDA" w:rsidRPr="006E611C">
              <w:rPr>
                <w:sz w:val="22"/>
                <w:szCs w:val="22"/>
              </w:rPr>
              <w:t xml:space="preserve"> </w:t>
            </w:r>
            <w:r w:rsidR="00205F35">
              <w:rPr>
                <w:sz w:val="22"/>
                <w:szCs w:val="22"/>
              </w:rPr>
              <w:t>4,782</w:t>
            </w:r>
          </w:p>
        </w:tc>
      </w:tr>
      <w:tr w:rsidR="00CC5E44" w:rsidRPr="006E611C" w:rsidTr="005B17AB">
        <w:trPr>
          <w:gridAfter w:val="1"/>
          <w:wAfter w:w="236" w:type="dxa"/>
          <w:trHeight w:val="387"/>
        </w:trPr>
        <w:tc>
          <w:tcPr>
            <w:tcW w:w="3048" w:type="dxa"/>
            <w:gridSpan w:val="3"/>
            <w:tcBorders>
              <w:top w:val="nil"/>
              <w:left w:val="nil"/>
              <w:bottom w:val="nil"/>
              <w:right w:val="nil"/>
            </w:tcBorders>
            <w:vAlign w:val="bottom"/>
          </w:tcPr>
          <w:p w:rsidR="00CC5E44" w:rsidRPr="006E611C" w:rsidRDefault="00CC5E44" w:rsidP="004E03D6">
            <w:pPr>
              <w:jc w:val="both"/>
              <w:rPr>
                <w:sz w:val="22"/>
                <w:szCs w:val="22"/>
              </w:rPr>
            </w:pPr>
            <w:r w:rsidRPr="006E611C">
              <w:rPr>
                <w:sz w:val="22"/>
                <w:szCs w:val="22"/>
              </w:rPr>
              <w:t>- Deferred tax</w:t>
            </w:r>
          </w:p>
        </w:tc>
        <w:tc>
          <w:tcPr>
            <w:tcW w:w="1385" w:type="dxa"/>
            <w:gridSpan w:val="2"/>
            <w:tcBorders>
              <w:top w:val="nil"/>
              <w:left w:val="nil"/>
              <w:bottom w:val="nil"/>
              <w:right w:val="single" w:sz="4" w:space="0" w:color="auto"/>
            </w:tcBorders>
            <w:vAlign w:val="bottom"/>
          </w:tcPr>
          <w:p w:rsidR="00CC5E44" w:rsidRPr="006E611C" w:rsidRDefault="00CC5E44" w:rsidP="004E03D6">
            <w:pPr>
              <w:jc w:val="both"/>
              <w:rPr>
                <w:sz w:val="22"/>
                <w:szCs w:val="22"/>
              </w:rPr>
            </w:pPr>
          </w:p>
        </w:tc>
        <w:tc>
          <w:tcPr>
            <w:tcW w:w="2124" w:type="dxa"/>
            <w:gridSpan w:val="2"/>
            <w:tcBorders>
              <w:top w:val="nil"/>
              <w:left w:val="single" w:sz="4" w:space="0" w:color="auto"/>
              <w:bottom w:val="single" w:sz="4" w:space="0" w:color="auto"/>
              <w:right w:val="nil"/>
            </w:tcBorders>
            <w:vAlign w:val="bottom"/>
          </w:tcPr>
          <w:p w:rsidR="00CC5E44" w:rsidRPr="006E611C" w:rsidRDefault="003B27E3" w:rsidP="00EF39FF">
            <w:pPr>
              <w:jc w:val="both"/>
              <w:rPr>
                <w:sz w:val="22"/>
                <w:szCs w:val="22"/>
              </w:rPr>
            </w:pPr>
            <w:r w:rsidRPr="006E611C">
              <w:rPr>
                <w:sz w:val="22"/>
                <w:szCs w:val="22"/>
              </w:rPr>
              <w:t xml:space="preserve">             </w:t>
            </w:r>
            <w:r w:rsidR="00E26606" w:rsidRPr="006E611C">
              <w:rPr>
                <w:sz w:val="22"/>
                <w:szCs w:val="22"/>
              </w:rPr>
              <w:t xml:space="preserve"> </w:t>
            </w:r>
            <w:r w:rsidR="00C04EDA" w:rsidRPr="006E611C">
              <w:rPr>
                <w:sz w:val="22"/>
                <w:szCs w:val="22"/>
              </w:rPr>
              <w:t xml:space="preserve"> </w:t>
            </w:r>
            <w:r w:rsidR="00EF39FF">
              <w:rPr>
                <w:sz w:val="22"/>
                <w:szCs w:val="22"/>
              </w:rPr>
              <w:t xml:space="preserve">  (934)</w:t>
            </w:r>
            <w:r w:rsidR="00CC5E44" w:rsidRPr="006E611C">
              <w:rPr>
                <w:sz w:val="22"/>
                <w:szCs w:val="22"/>
              </w:rPr>
              <w:t xml:space="preserve"> </w:t>
            </w:r>
          </w:p>
        </w:tc>
        <w:tc>
          <w:tcPr>
            <w:tcW w:w="462" w:type="dxa"/>
            <w:gridSpan w:val="2"/>
            <w:tcBorders>
              <w:top w:val="nil"/>
              <w:left w:val="nil"/>
              <w:bottom w:val="single" w:sz="4" w:space="0" w:color="auto"/>
              <w:right w:val="nil"/>
            </w:tcBorders>
            <w:vAlign w:val="bottom"/>
          </w:tcPr>
          <w:p w:rsidR="00CC5E44" w:rsidRPr="006E611C" w:rsidRDefault="00CC5E44" w:rsidP="004E03D6">
            <w:pPr>
              <w:jc w:val="both"/>
              <w:rPr>
                <w:sz w:val="22"/>
                <w:szCs w:val="22"/>
              </w:rPr>
            </w:pPr>
          </w:p>
        </w:tc>
        <w:tc>
          <w:tcPr>
            <w:tcW w:w="1981" w:type="dxa"/>
            <w:tcBorders>
              <w:top w:val="nil"/>
              <w:left w:val="nil"/>
              <w:bottom w:val="single" w:sz="4" w:space="0" w:color="auto"/>
              <w:right w:val="single" w:sz="4" w:space="0" w:color="auto"/>
            </w:tcBorders>
            <w:vAlign w:val="bottom"/>
          </w:tcPr>
          <w:p w:rsidR="00CC5E44" w:rsidRPr="006E611C" w:rsidRDefault="003B27E3" w:rsidP="00EF39FF">
            <w:pPr>
              <w:jc w:val="both"/>
              <w:rPr>
                <w:sz w:val="22"/>
                <w:szCs w:val="22"/>
              </w:rPr>
            </w:pPr>
            <w:r w:rsidRPr="006E611C">
              <w:rPr>
                <w:sz w:val="22"/>
                <w:szCs w:val="22"/>
              </w:rPr>
              <w:t xml:space="preserve">             </w:t>
            </w:r>
            <w:r w:rsidR="003022AE" w:rsidRPr="006E611C">
              <w:rPr>
                <w:sz w:val="22"/>
                <w:szCs w:val="22"/>
              </w:rPr>
              <w:t xml:space="preserve"> </w:t>
            </w:r>
            <w:r w:rsidR="00C04EDA" w:rsidRPr="006E611C">
              <w:rPr>
                <w:sz w:val="22"/>
                <w:szCs w:val="22"/>
              </w:rPr>
              <w:t xml:space="preserve"> </w:t>
            </w:r>
            <w:r w:rsidR="00EF39FF">
              <w:rPr>
                <w:sz w:val="22"/>
                <w:szCs w:val="22"/>
              </w:rPr>
              <w:t xml:space="preserve">   746</w:t>
            </w:r>
          </w:p>
        </w:tc>
      </w:tr>
      <w:tr w:rsidR="00CC5E44" w:rsidRPr="006E611C" w:rsidTr="005B17AB">
        <w:trPr>
          <w:gridAfter w:val="1"/>
          <w:wAfter w:w="236" w:type="dxa"/>
          <w:trHeight w:val="387"/>
        </w:trPr>
        <w:tc>
          <w:tcPr>
            <w:tcW w:w="3048" w:type="dxa"/>
            <w:gridSpan w:val="3"/>
            <w:tcBorders>
              <w:top w:val="nil"/>
              <w:left w:val="nil"/>
              <w:bottom w:val="nil"/>
              <w:right w:val="nil"/>
            </w:tcBorders>
            <w:vAlign w:val="bottom"/>
          </w:tcPr>
          <w:p w:rsidR="00CC5E44" w:rsidRPr="006E611C" w:rsidRDefault="00CC5E44" w:rsidP="004E03D6">
            <w:pPr>
              <w:jc w:val="both"/>
              <w:rPr>
                <w:sz w:val="22"/>
                <w:szCs w:val="22"/>
              </w:rPr>
            </w:pPr>
          </w:p>
        </w:tc>
        <w:tc>
          <w:tcPr>
            <w:tcW w:w="1385" w:type="dxa"/>
            <w:gridSpan w:val="2"/>
            <w:tcBorders>
              <w:top w:val="nil"/>
              <w:left w:val="nil"/>
              <w:bottom w:val="nil"/>
              <w:right w:val="nil"/>
            </w:tcBorders>
            <w:vAlign w:val="bottom"/>
          </w:tcPr>
          <w:p w:rsidR="00CC5E44" w:rsidRPr="006E611C" w:rsidRDefault="00CC5E44" w:rsidP="004E03D6">
            <w:pPr>
              <w:jc w:val="both"/>
              <w:rPr>
                <w:sz w:val="22"/>
                <w:szCs w:val="22"/>
              </w:rPr>
            </w:pPr>
          </w:p>
        </w:tc>
        <w:tc>
          <w:tcPr>
            <w:tcW w:w="2124" w:type="dxa"/>
            <w:gridSpan w:val="2"/>
            <w:tcBorders>
              <w:top w:val="single" w:sz="4" w:space="0" w:color="auto"/>
              <w:left w:val="nil"/>
              <w:bottom w:val="nil"/>
              <w:right w:val="nil"/>
            </w:tcBorders>
            <w:vAlign w:val="bottom"/>
          </w:tcPr>
          <w:p w:rsidR="00CC5E44" w:rsidRPr="006E611C" w:rsidRDefault="003B27E3" w:rsidP="00EF39FF">
            <w:pPr>
              <w:jc w:val="both"/>
              <w:rPr>
                <w:sz w:val="22"/>
                <w:szCs w:val="22"/>
              </w:rPr>
            </w:pPr>
            <w:r w:rsidRPr="006E611C">
              <w:rPr>
                <w:sz w:val="22"/>
                <w:szCs w:val="22"/>
              </w:rPr>
              <w:t xml:space="preserve">               </w:t>
            </w:r>
            <w:r w:rsidR="00EF39FF">
              <w:rPr>
                <w:sz w:val="22"/>
                <w:szCs w:val="22"/>
              </w:rPr>
              <w:t>3</w:t>
            </w:r>
            <w:r w:rsidR="00C04EDA" w:rsidRPr="006E611C">
              <w:rPr>
                <w:sz w:val="22"/>
                <w:szCs w:val="22"/>
              </w:rPr>
              <w:t>,</w:t>
            </w:r>
            <w:r w:rsidR="00EF39FF">
              <w:rPr>
                <w:sz w:val="22"/>
                <w:szCs w:val="22"/>
              </w:rPr>
              <w:t>581</w:t>
            </w:r>
          </w:p>
        </w:tc>
        <w:tc>
          <w:tcPr>
            <w:tcW w:w="462" w:type="dxa"/>
            <w:gridSpan w:val="2"/>
            <w:tcBorders>
              <w:top w:val="single" w:sz="4" w:space="0" w:color="auto"/>
              <w:left w:val="nil"/>
              <w:bottom w:val="nil"/>
              <w:right w:val="nil"/>
            </w:tcBorders>
            <w:vAlign w:val="bottom"/>
          </w:tcPr>
          <w:p w:rsidR="00CC5E44" w:rsidRPr="006E611C" w:rsidRDefault="00CC5E44" w:rsidP="004E03D6">
            <w:pPr>
              <w:jc w:val="both"/>
              <w:rPr>
                <w:sz w:val="22"/>
                <w:szCs w:val="22"/>
              </w:rPr>
            </w:pPr>
          </w:p>
        </w:tc>
        <w:tc>
          <w:tcPr>
            <w:tcW w:w="1981" w:type="dxa"/>
            <w:tcBorders>
              <w:top w:val="single" w:sz="4" w:space="0" w:color="auto"/>
              <w:left w:val="nil"/>
              <w:bottom w:val="nil"/>
              <w:right w:val="nil"/>
            </w:tcBorders>
            <w:vAlign w:val="bottom"/>
          </w:tcPr>
          <w:p w:rsidR="00CC5E44" w:rsidRPr="006E611C" w:rsidRDefault="00CC5E44" w:rsidP="00EF39FF">
            <w:pPr>
              <w:jc w:val="both"/>
              <w:rPr>
                <w:sz w:val="22"/>
                <w:szCs w:val="22"/>
              </w:rPr>
            </w:pPr>
            <w:r w:rsidRPr="006E611C">
              <w:rPr>
                <w:sz w:val="22"/>
                <w:szCs w:val="22"/>
              </w:rPr>
              <w:t xml:space="preserve">              </w:t>
            </w:r>
            <w:r w:rsidR="003022AE" w:rsidRPr="006E611C">
              <w:rPr>
                <w:sz w:val="22"/>
                <w:szCs w:val="22"/>
              </w:rPr>
              <w:t xml:space="preserve"> </w:t>
            </w:r>
            <w:r w:rsidR="00EF39FF">
              <w:rPr>
                <w:sz w:val="22"/>
                <w:szCs w:val="22"/>
              </w:rPr>
              <w:t>5</w:t>
            </w:r>
            <w:r w:rsidR="00C04EDA" w:rsidRPr="006E611C">
              <w:rPr>
                <w:sz w:val="22"/>
                <w:szCs w:val="22"/>
              </w:rPr>
              <w:t>,</w:t>
            </w:r>
            <w:r w:rsidR="00EF39FF">
              <w:rPr>
                <w:sz w:val="22"/>
                <w:szCs w:val="22"/>
              </w:rPr>
              <w:t>528</w:t>
            </w:r>
          </w:p>
        </w:tc>
      </w:tr>
      <w:tr w:rsidR="00035FF2" w:rsidRPr="006E611C" w:rsidTr="005B17AB">
        <w:trPr>
          <w:trHeight w:val="387"/>
        </w:trPr>
        <w:tc>
          <w:tcPr>
            <w:tcW w:w="2970" w:type="dxa"/>
            <w:gridSpan w:val="2"/>
            <w:tcBorders>
              <w:top w:val="nil"/>
              <w:left w:val="nil"/>
              <w:bottom w:val="nil"/>
              <w:right w:val="nil"/>
            </w:tcBorders>
            <w:vAlign w:val="bottom"/>
          </w:tcPr>
          <w:p w:rsidR="00035FF2" w:rsidRPr="006E611C" w:rsidRDefault="00035FF2" w:rsidP="004E03D6">
            <w:pPr>
              <w:jc w:val="both"/>
              <w:rPr>
                <w:sz w:val="22"/>
                <w:szCs w:val="22"/>
              </w:rPr>
            </w:pPr>
          </w:p>
          <w:p w:rsidR="00035FF2" w:rsidRPr="006E611C" w:rsidRDefault="00035FF2" w:rsidP="004E03D6">
            <w:pPr>
              <w:jc w:val="both"/>
              <w:rPr>
                <w:sz w:val="22"/>
                <w:szCs w:val="22"/>
              </w:rPr>
            </w:pPr>
            <w:r w:rsidRPr="006E611C">
              <w:rPr>
                <w:sz w:val="22"/>
                <w:szCs w:val="22"/>
              </w:rPr>
              <w:t>Prior year:</w:t>
            </w:r>
          </w:p>
        </w:tc>
        <w:tc>
          <w:tcPr>
            <w:tcW w:w="1350" w:type="dxa"/>
            <w:gridSpan w:val="2"/>
            <w:tcBorders>
              <w:top w:val="nil"/>
              <w:left w:val="nil"/>
              <w:bottom w:val="nil"/>
              <w:right w:val="nil"/>
            </w:tcBorders>
            <w:vAlign w:val="bottom"/>
          </w:tcPr>
          <w:p w:rsidR="00035FF2" w:rsidRPr="006E611C" w:rsidRDefault="00035FF2" w:rsidP="004E03D6">
            <w:pPr>
              <w:jc w:val="both"/>
              <w:rPr>
                <w:sz w:val="22"/>
                <w:szCs w:val="22"/>
              </w:rPr>
            </w:pPr>
          </w:p>
        </w:tc>
        <w:tc>
          <w:tcPr>
            <w:tcW w:w="2070" w:type="dxa"/>
            <w:gridSpan w:val="2"/>
            <w:tcBorders>
              <w:top w:val="nil"/>
              <w:left w:val="nil"/>
              <w:bottom w:val="single" w:sz="4" w:space="0" w:color="auto"/>
              <w:right w:val="nil"/>
            </w:tcBorders>
            <w:vAlign w:val="bottom"/>
          </w:tcPr>
          <w:p w:rsidR="00035FF2" w:rsidRPr="006E611C" w:rsidRDefault="00035FF2" w:rsidP="004E03D6">
            <w:pPr>
              <w:jc w:val="both"/>
              <w:rPr>
                <w:sz w:val="22"/>
                <w:szCs w:val="22"/>
              </w:rPr>
            </w:pPr>
            <w:r w:rsidRPr="006E611C">
              <w:rPr>
                <w:sz w:val="22"/>
                <w:szCs w:val="22"/>
              </w:rPr>
              <w:t xml:space="preserve">              </w:t>
            </w:r>
          </w:p>
        </w:tc>
        <w:tc>
          <w:tcPr>
            <w:tcW w:w="450" w:type="dxa"/>
            <w:gridSpan w:val="2"/>
            <w:tcBorders>
              <w:top w:val="nil"/>
              <w:left w:val="nil"/>
              <w:bottom w:val="single" w:sz="4" w:space="0" w:color="auto"/>
              <w:right w:val="nil"/>
            </w:tcBorders>
            <w:vAlign w:val="bottom"/>
          </w:tcPr>
          <w:p w:rsidR="00035FF2" w:rsidRPr="006E611C" w:rsidRDefault="00035FF2" w:rsidP="004E03D6">
            <w:pPr>
              <w:jc w:val="both"/>
              <w:rPr>
                <w:sz w:val="22"/>
                <w:szCs w:val="22"/>
              </w:rPr>
            </w:pPr>
          </w:p>
        </w:tc>
        <w:tc>
          <w:tcPr>
            <w:tcW w:w="2160" w:type="dxa"/>
            <w:gridSpan w:val="2"/>
            <w:tcBorders>
              <w:top w:val="nil"/>
              <w:left w:val="nil"/>
              <w:bottom w:val="single" w:sz="4" w:space="0" w:color="auto"/>
              <w:right w:val="nil"/>
            </w:tcBorders>
            <w:vAlign w:val="bottom"/>
          </w:tcPr>
          <w:p w:rsidR="00035FF2" w:rsidRPr="006E611C" w:rsidRDefault="00035FF2" w:rsidP="004E03D6">
            <w:pPr>
              <w:jc w:val="both"/>
              <w:rPr>
                <w:sz w:val="22"/>
                <w:szCs w:val="22"/>
              </w:rPr>
            </w:pPr>
            <w:r w:rsidRPr="006E611C">
              <w:rPr>
                <w:sz w:val="22"/>
                <w:szCs w:val="22"/>
              </w:rPr>
              <w:t xml:space="preserve">              </w:t>
            </w:r>
          </w:p>
        </w:tc>
        <w:tc>
          <w:tcPr>
            <w:tcW w:w="236" w:type="dxa"/>
            <w:tcBorders>
              <w:top w:val="nil"/>
              <w:left w:val="nil"/>
              <w:bottom w:val="nil"/>
              <w:right w:val="nil"/>
            </w:tcBorders>
            <w:vAlign w:val="bottom"/>
          </w:tcPr>
          <w:p w:rsidR="00035FF2" w:rsidRPr="006E611C" w:rsidRDefault="00035FF2" w:rsidP="004E03D6">
            <w:pPr>
              <w:jc w:val="both"/>
              <w:rPr>
                <w:sz w:val="22"/>
                <w:szCs w:val="22"/>
              </w:rPr>
            </w:pPr>
          </w:p>
        </w:tc>
      </w:tr>
      <w:tr w:rsidR="00035FF2" w:rsidRPr="006E611C" w:rsidTr="005B17AB">
        <w:trPr>
          <w:trHeight w:val="387"/>
        </w:trPr>
        <w:tc>
          <w:tcPr>
            <w:tcW w:w="2970" w:type="dxa"/>
            <w:gridSpan w:val="2"/>
            <w:tcBorders>
              <w:top w:val="nil"/>
              <w:left w:val="nil"/>
              <w:bottom w:val="nil"/>
              <w:right w:val="nil"/>
            </w:tcBorders>
            <w:vAlign w:val="bottom"/>
          </w:tcPr>
          <w:p w:rsidR="00035FF2" w:rsidRPr="006E611C" w:rsidRDefault="00035FF2" w:rsidP="004E03D6">
            <w:pPr>
              <w:jc w:val="both"/>
              <w:rPr>
                <w:sz w:val="22"/>
                <w:szCs w:val="22"/>
              </w:rPr>
            </w:pPr>
            <w:r w:rsidRPr="006E611C">
              <w:rPr>
                <w:sz w:val="22"/>
                <w:szCs w:val="22"/>
              </w:rPr>
              <w:t>- Income tax</w:t>
            </w:r>
          </w:p>
        </w:tc>
        <w:tc>
          <w:tcPr>
            <w:tcW w:w="1350" w:type="dxa"/>
            <w:gridSpan w:val="2"/>
            <w:tcBorders>
              <w:top w:val="nil"/>
              <w:left w:val="nil"/>
              <w:bottom w:val="nil"/>
              <w:right w:val="single" w:sz="4" w:space="0" w:color="auto"/>
            </w:tcBorders>
            <w:vAlign w:val="bottom"/>
          </w:tcPr>
          <w:p w:rsidR="00035FF2" w:rsidRPr="006E611C" w:rsidRDefault="00035FF2" w:rsidP="004E03D6">
            <w:pPr>
              <w:jc w:val="both"/>
              <w:rPr>
                <w:sz w:val="22"/>
                <w:szCs w:val="22"/>
              </w:rPr>
            </w:pPr>
          </w:p>
        </w:tc>
        <w:tc>
          <w:tcPr>
            <w:tcW w:w="2070" w:type="dxa"/>
            <w:gridSpan w:val="2"/>
            <w:tcBorders>
              <w:top w:val="single" w:sz="4" w:space="0" w:color="auto"/>
              <w:left w:val="single" w:sz="4" w:space="0" w:color="auto"/>
              <w:bottom w:val="nil"/>
              <w:right w:val="nil"/>
            </w:tcBorders>
            <w:vAlign w:val="bottom"/>
          </w:tcPr>
          <w:p w:rsidR="00035FF2" w:rsidRPr="006E611C" w:rsidRDefault="00035FF2" w:rsidP="00EF39FF">
            <w:pPr>
              <w:jc w:val="both"/>
              <w:rPr>
                <w:sz w:val="22"/>
                <w:szCs w:val="22"/>
              </w:rPr>
            </w:pPr>
            <w:r w:rsidRPr="006E611C">
              <w:rPr>
                <w:sz w:val="22"/>
                <w:szCs w:val="22"/>
              </w:rPr>
              <w:t xml:space="preserve">          </w:t>
            </w:r>
            <w:r w:rsidR="00225BF3" w:rsidRPr="006E611C">
              <w:rPr>
                <w:sz w:val="22"/>
                <w:szCs w:val="22"/>
              </w:rPr>
              <w:t xml:space="preserve">     </w:t>
            </w:r>
            <w:r w:rsidRPr="006E611C">
              <w:rPr>
                <w:sz w:val="22"/>
                <w:szCs w:val="22"/>
              </w:rPr>
              <w:t xml:space="preserve"> </w:t>
            </w:r>
            <w:r w:rsidR="003022AE" w:rsidRPr="006E611C">
              <w:rPr>
                <w:sz w:val="22"/>
                <w:szCs w:val="22"/>
              </w:rPr>
              <w:t xml:space="preserve">   </w:t>
            </w:r>
            <w:r w:rsidR="00292CAE" w:rsidRPr="006E611C">
              <w:rPr>
                <w:sz w:val="22"/>
                <w:szCs w:val="22"/>
              </w:rPr>
              <w:t xml:space="preserve"> </w:t>
            </w:r>
            <w:r w:rsidR="00EF39FF">
              <w:rPr>
                <w:sz w:val="22"/>
                <w:szCs w:val="22"/>
              </w:rPr>
              <w:t>124</w:t>
            </w:r>
            <w:r w:rsidRPr="006E611C">
              <w:rPr>
                <w:sz w:val="22"/>
                <w:szCs w:val="22"/>
              </w:rPr>
              <w:t xml:space="preserve"> </w:t>
            </w:r>
          </w:p>
        </w:tc>
        <w:tc>
          <w:tcPr>
            <w:tcW w:w="450" w:type="dxa"/>
            <w:gridSpan w:val="2"/>
            <w:tcBorders>
              <w:top w:val="single" w:sz="4" w:space="0" w:color="auto"/>
              <w:left w:val="nil"/>
              <w:bottom w:val="nil"/>
              <w:right w:val="nil"/>
            </w:tcBorders>
            <w:vAlign w:val="bottom"/>
          </w:tcPr>
          <w:p w:rsidR="00035FF2" w:rsidRPr="006E611C" w:rsidRDefault="00035FF2" w:rsidP="004E03D6">
            <w:pPr>
              <w:jc w:val="both"/>
              <w:rPr>
                <w:sz w:val="22"/>
                <w:szCs w:val="22"/>
              </w:rPr>
            </w:pPr>
          </w:p>
        </w:tc>
        <w:tc>
          <w:tcPr>
            <w:tcW w:w="2160" w:type="dxa"/>
            <w:gridSpan w:val="2"/>
            <w:tcBorders>
              <w:top w:val="single" w:sz="4" w:space="0" w:color="auto"/>
              <w:left w:val="nil"/>
              <w:bottom w:val="nil"/>
              <w:right w:val="single" w:sz="4" w:space="0" w:color="auto"/>
            </w:tcBorders>
            <w:vAlign w:val="bottom"/>
          </w:tcPr>
          <w:p w:rsidR="00035FF2" w:rsidRPr="006E611C" w:rsidRDefault="00035FF2" w:rsidP="00EF39FF">
            <w:pPr>
              <w:jc w:val="both"/>
              <w:rPr>
                <w:sz w:val="22"/>
                <w:szCs w:val="22"/>
              </w:rPr>
            </w:pPr>
            <w:r w:rsidRPr="006E611C">
              <w:rPr>
                <w:sz w:val="22"/>
                <w:szCs w:val="22"/>
              </w:rPr>
              <w:t xml:space="preserve">              </w:t>
            </w:r>
            <w:r w:rsidR="00225BF3" w:rsidRPr="006E611C">
              <w:rPr>
                <w:sz w:val="22"/>
                <w:szCs w:val="22"/>
              </w:rPr>
              <w:t xml:space="preserve"> </w:t>
            </w:r>
            <w:r w:rsidR="005B17AB" w:rsidRPr="006E611C">
              <w:rPr>
                <w:sz w:val="22"/>
                <w:szCs w:val="22"/>
              </w:rPr>
              <w:t xml:space="preserve"> </w:t>
            </w:r>
            <w:r w:rsidRPr="006E611C">
              <w:rPr>
                <w:sz w:val="22"/>
                <w:szCs w:val="22"/>
              </w:rPr>
              <w:t xml:space="preserve"> </w:t>
            </w:r>
            <w:r w:rsidR="00C04EDA" w:rsidRPr="006E611C">
              <w:rPr>
                <w:sz w:val="22"/>
                <w:szCs w:val="22"/>
              </w:rPr>
              <w:t xml:space="preserve">    62</w:t>
            </w:r>
            <w:r w:rsidR="00EF39FF">
              <w:rPr>
                <w:sz w:val="22"/>
                <w:szCs w:val="22"/>
              </w:rPr>
              <w:t>2</w:t>
            </w:r>
          </w:p>
        </w:tc>
        <w:tc>
          <w:tcPr>
            <w:tcW w:w="236" w:type="dxa"/>
            <w:tcBorders>
              <w:top w:val="nil"/>
              <w:left w:val="single" w:sz="4" w:space="0" w:color="auto"/>
              <w:bottom w:val="nil"/>
              <w:right w:val="nil"/>
            </w:tcBorders>
            <w:vAlign w:val="bottom"/>
          </w:tcPr>
          <w:p w:rsidR="00035FF2" w:rsidRPr="006E611C" w:rsidRDefault="00035FF2" w:rsidP="004E03D6">
            <w:pPr>
              <w:jc w:val="both"/>
              <w:rPr>
                <w:sz w:val="22"/>
                <w:szCs w:val="22"/>
              </w:rPr>
            </w:pPr>
          </w:p>
        </w:tc>
      </w:tr>
      <w:tr w:rsidR="00035FF2" w:rsidRPr="006E611C" w:rsidTr="005B17AB">
        <w:trPr>
          <w:trHeight w:val="387"/>
        </w:trPr>
        <w:tc>
          <w:tcPr>
            <w:tcW w:w="2970" w:type="dxa"/>
            <w:gridSpan w:val="2"/>
            <w:tcBorders>
              <w:top w:val="nil"/>
              <w:left w:val="nil"/>
              <w:bottom w:val="nil"/>
              <w:right w:val="nil"/>
            </w:tcBorders>
            <w:vAlign w:val="bottom"/>
          </w:tcPr>
          <w:p w:rsidR="00035FF2" w:rsidRPr="006E611C" w:rsidRDefault="00035FF2" w:rsidP="004E03D6">
            <w:pPr>
              <w:jc w:val="both"/>
              <w:rPr>
                <w:sz w:val="22"/>
                <w:szCs w:val="22"/>
              </w:rPr>
            </w:pPr>
            <w:r w:rsidRPr="006E611C">
              <w:rPr>
                <w:sz w:val="22"/>
                <w:szCs w:val="22"/>
              </w:rPr>
              <w:t>- Deferred tax</w:t>
            </w:r>
          </w:p>
        </w:tc>
        <w:tc>
          <w:tcPr>
            <w:tcW w:w="1350" w:type="dxa"/>
            <w:gridSpan w:val="2"/>
            <w:tcBorders>
              <w:top w:val="nil"/>
              <w:left w:val="nil"/>
              <w:bottom w:val="nil"/>
              <w:right w:val="single" w:sz="4" w:space="0" w:color="auto"/>
            </w:tcBorders>
            <w:vAlign w:val="bottom"/>
          </w:tcPr>
          <w:p w:rsidR="00035FF2" w:rsidRPr="006E611C" w:rsidRDefault="00035FF2" w:rsidP="004E03D6">
            <w:pPr>
              <w:jc w:val="both"/>
              <w:rPr>
                <w:sz w:val="22"/>
                <w:szCs w:val="22"/>
              </w:rPr>
            </w:pPr>
          </w:p>
        </w:tc>
        <w:tc>
          <w:tcPr>
            <w:tcW w:w="2070" w:type="dxa"/>
            <w:gridSpan w:val="2"/>
            <w:tcBorders>
              <w:top w:val="nil"/>
              <w:left w:val="single" w:sz="4" w:space="0" w:color="auto"/>
              <w:bottom w:val="single" w:sz="4" w:space="0" w:color="auto"/>
              <w:right w:val="nil"/>
            </w:tcBorders>
            <w:vAlign w:val="bottom"/>
          </w:tcPr>
          <w:p w:rsidR="00035FF2" w:rsidRPr="006E611C" w:rsidRDefault="003A069E" w:rsidP="00EF39FF">
            <w:pPr>
              <w:jc w:val="both"/>
              <w:rPr>
                <w:sz w:val="22"/>
                <w:szCs w:val="22"/>
              </w:rPr>
            </w:pPr>
            <w:r w:rsidRPr="006E611C">
              <w:rPr>
                <w:sz w:val="22"/>
                <w:szCs w:val="22"/>
              </w:rPr>
              <w:t xml:space="preserve">                 </w:t>
            </w:r>
            <w:r w:rsidR="00C04EDA" w:rsidRPr="006E611C">
              <w:rPr>
                <w:sz w:val="22"/>
                <w:szCs w:val="22"/>
              </w:rPr>
              <w:t xml:space="preserve">  </w:t>
            </w:r>
          </w:p>
        </w:tc>
        <w:tc>
          <w:tcPr>
            <w:tcW w:w="450" w:type="dxa"/>
            <w:gridSpan w:val="2"/>
            <w:tcBorders>
              <w:top w:val="nil"/>
              <w:left w:val="nil"/>
              <w:bottom w:val="single" w:sz="4" w:space="0" w:color="auto"/>
              <w:right w:val="nil"/>
            </w:tcBorders>
            <w:vAlign w:val="bottom"/>
          </w:tcPr>
          <w:p w:rsidR="00035FF2" w:rsidRPr="006E611C" w:rsidRDefault="00035FF2" w:rsidP="004E03D6">
            <w:pPr>
              <w:jc w:val="both"/>
              <w:rPr>
                <w:sz w:val="22"/>
                <w:szCs w:val="22"/>
              </w:rPr>
            </w:pPr>
          </w:p>
        </w:tc>
        <w:tc>
          <w:tcPr>
            <w:tcW w:w="2160" w:type="dxa"/>
            <w:gridSpan w:val="2"/>
            <w:tcBorders>
              <w:top w:val="nil"/>
              <w:left w:val="nil"/>
              <w:bottom w:val="single" w:sz="4" w:space="0" w:color="auto"/>
              <w:right w:val="single" w:sz="4" w:space="0" w:color="auto"/>
            </w:tcBorders>
            <w:vAlign w:val="bottom"/>
          </w:tcPr>
          <w:p w:rsidR="00035FF2" w:rsidRPr="006E611C" w:rsidRDefault="00035FF2" w:rsidP="004E03D6">
            <w:pPr>
              <w:jc w:val="both"/>
              <w:rPr>
                <w:sz w:val="22"/>
                <w:szCs w:val="22"/>
              </w:rPr>
            </w:pPr>
            <w:r w:rsidRPr="006E611C">
              <w:rPr>
                <w:sz w:val="22"/>
                <w:szCs w:val="22"/>
              </w:rPr>
              <w:t xml:space="preserve">              </w:t>
            </w:r>
            <w:r w:rsidR="00225BF3" w:rsidRPr="006E611C">
              <w:rPr>
                <w:sz w:val="22"/>
                <w:szCs w:val="22"/>
              </w:rPr>
              <w:t xml:space="preserve"> </w:t>
            </w:r>
            <w:r w:rsidR="005B17AB" w:rsidRPr="006E611C">
              <w:rPr>
                <w:sz w:val="22"/>
                <w:szCs w:val="22"/>
              </w:rPr>
              <w:t xml:space="preserve">  </w:t>
            </w:r>
            <w:r w:rsidR="00225BF3" w:rsidRPr="006E611C">
              <w:rPr>
                <w:sz w:val="22"/>
                <w:szCs w:val="22"/>
              </w:rPr>
              <w:t xml:space="preserve">  </w:t>
            </w:r>
            <w:r w:rsidR="00C04EDA" w:rsidRPr="006E611C">
              <w:rPr>
                <w:sz w:val="22"/>
                <w:szCs w:val="22"/>
              </w:rPr>
              <w:t xml:space="preserve"> (246)</w:t>
            </w:r>
          </w:p>
        </w:tc>
        <w:tc>
          <w:tcPr>
            <w:tcW w:w="236" w:type="dxa"/>
            <w:tcBorders>
              <w:top w:val="nil"/>
              <w:left w:val="single" w:sz="4" w:space="0" w:color="auto"/>
              <w:bottom w:val="nil"/>
              <w:right w:val="nil"/>
            </w:tcBorders>
            <w:vAlign w:val="bottom"/>
          </w:tcPr>
          <w:p w:rsidR="00035FF2" w:rsidRPr="006E611C" w:rsidRDefault="00035FF2" w:rsidP="004E03D6">
            <w:pPr>
              <w:jc w:val="both"/>
              <w:rPr>
                <w:sz w:val="22"/>
                <w:szCs w:val="22"/>
              </w:rPr>
            </w:pPr>
          </w:p>
        </w:tc>
      </w:tr>
      <w:tr w:rsidR="00035FF2" w:rsidRPr="006E611C" w:rsidTr="005B17AB">
        <w:trPr>
          <w:trHeight w:val="387"/>
        </w:trPr>
        <w:tc>
          <w:tcPr>
            <w:tcW w:w="2970" w:type="dxa"/>
            <w:gridSpan w:val="2"/>
            <w:tcBorders>
              <w:top w:val="nil"/>
              <w:left w:val="nil"/>
              <w:bottom w:val="nil"/>
              <w:right w:val="nil"/>
            </w:tcBorders>
            <w:vAlign w:val="bottom"/>
          </w:tcPr>
          <w:p w:rsidR="00035FF2" w:rsidRPr="006E611C" w:rsidRDefault="00035FF2" w:rsidP="004E03D6">
            <w:pPr>
              <w:jc w:val="both"/>
              <w:rPr>
                <w:sz w:val="22"/>
                <w:szCs w:val="22"/>
              </w:rPr>
            </w:pPr>
          </w:p>
        </w:tc>
        <w:tc>
          <w:tcPr>
            <w:tcW w:w="1350" w:type="dxa"/>
            <w:gridSpan w:val="2"/>
            <w:tcBorders>
              <w:top w:val="nil"/>
              <w:left w:val="nil"/>
              <w:bottom w:val="nil"/>
              <w:right w:val="nil"/>
            </w:tcBorders>
            <w:vAlign w:val="bottom"/>
          </w:tcPr>
          <w:p w:rsidR="00035FF2" w:rsidRPr="006E611C" w:rsidRDefault="00035FF2" w:rsidP="004E03D6">
            <w:pPr>
              <w:jc w:val="both"/>
              <w:rPr>
                <w:sz w:val="22"/>
                <w:szCs w:val="22"/>
              </w:rPr>
            </w:pPr>
          </w:p>
        </w:tc>
        <w:tc>
          <w:tcPr>
            <w:tcW w:w="2070" w:type="dxa"/>
            <w:gridSpan w:val="2"/>
            <w:tcBorders>
              <w:top w:val="single" w:sz="4" w:space="0" w:color="auto"/>
              <w:left w:val="nil"/>
              <w:bottom w:val="nil"/>
              <w:right w:val="nil"/>
            </w:tcBorders>
            <w:vAlign w:val="bottom"/>
          </w:tcPr>
          <w:p w:rsidR="00035FF2" w:rsidRPr="006E611C" w:rsidRDefault="00035FF2" w:rsidP="00EF39FF">
            <w:pPr>
              <w:jc w:val="both"/>
              <w:rPr>
                <w:sz w:val="22"/>
                <w:szCs w:val="22"/>
              </w:rPr>
            </w:pPr>
            <w:r w:rsidRPr="006E611C">
              <w:rPr>
                <w:sz w:val="22"/>
                <w:szCs w:val="22"/>
              </w:rPr>
              <w:t xml:space="preserve">             </w:t>
            </w:r>
            <w:r w:rsidR="00225BF3" w:rsidRPr="006E611C">
              <w:rPr>
                <w:sz w:val="22"/>
                <w:szCs w:val="22"/>
              </w:rPr>
              <w:t xml:space="preserve"> </w:t>
            </w:r>
            <w:r w:rsidR="003A069E" w:rsidRPr="006E611C">
              <w:rPr>
                <w:sz w:val="22"/>
                <w:szCs w:val="22"/>
              </w:rPr>
              <w:t xml:space="preserve">  </w:t>
            </w:r>
            <w:r w:rsidR="00C04EDA" w:rsidRPr="006E611C">
              <w:rPr>
                <w:sz w:val="22"/>
                <w:szCs w:val="22"/>
              </w:rPr>
              <w:t xml:space="preserve">   </w:t>
            </w:r>
            <w:r w:rsidR="003A069E" w:rsidRPr="006E611C">
              <w:rPr>
                <w:sz w:val="22"/>
                <w:szCs w:val="22"/>
              </w:rPr>
              <w:t xml:space="preserve"> </w:t>
            </w:r>
            <w:r w:rsidR="00EF39FF">
              <w:rPr>
                <w:sz w:val="22"/>
                <w:szCs w:val="22"/>
              </w:rPr>
              <w:t>124</w:t>
            </w:r>
            <w:r w:rsidRPr="006E611C">
              <w:rPr>
                <w:sz w:val="22"/>
                <w:szCs w:val="22"/>
              </w:rPr>
              <w:t xml:space="preserve"> </w:t>
            </w:r>
          </w:p>
        </w:tc>
        <w:tc>
          <w:tcPr>
            <w:tcW w:w="450" w:type="dxa"/>
            <w:gridSpan w:val="2"/>
            <w:tcBorders>
              <w:top w:val="single" w:sz="4" w:space="0" w:color="auto"/>
              <w:left w:val="nil"/>
              <w:bottom w:val="nil"/>
              <w:right w:val="nil"/>
            </w:tcBorders>
            <w:vAlign w:val="bottom"/>
          </w:tcPr>
          <w:p w:rsidR="00035FF2" w:rsidRPr="006E611C" w:rsidRDefault="00035FF2" w:rsidP="004E03D6">
            <w:pPr>
              <w:jc w:val="both"/>
              <w:rPr>
                <w:sz w:val="22"/>
                <w:szCs w:val="22"/>
              </w:rPr>
            </w:pPr>
          </w:p>
        </w:tc>
        <w:tc>
          <w:tcPr>
            <w:tcW w:w="2160" w:type="dxa"/>
            <w:gridSpan w:val="2"/>
            <w:tcBorders>
              <w:top w:val="single" w:sz="4" w:space="0" w:color="auto"/>
              <w:left w:val="nil"/>
              <w:bottom w:val="nil"/>
              <w:right w:val="nil"/>
            </w:tcBorders>
            <w:vAlign w:val="bottom"/>
          </w:tcPr>
          <w:p w:rsidR="00035FF2" w:rsidRPr="006E611C" w:rsidRDefault="00035FF2" w:rsidP="00EF39FF">
            <w:pPr>
              <w:jc w:val="both"/>
              <w:rPr>
                <w:sz w:val="22"/>
                <w:szCs w:val="22"/>
              </w:rPr>
            </w:pPr>
            <w:r w:rsidRPr="006E611C">
              <w:rPr>
                <w:sz w:val="22"/>
                <w:szCs w:val="22"/>
              </w:rPr>
              <w:t xml:space="preserve">               </w:t>
            </w:r>
            <w:r w:rsidR="005B17AB" w:rsidRPr="006E611C">
              <w:rPr>
                <w:sz w:val="22"/>
                <w:szCs w:val="22"/>
              </w:rPr>
              <w:t xml:space="preserve"> </w:t>
            </w:r>
            <w:r w:rsidRPr="006E611C">
              <w:rPr>
                <w:sz w:val="22"/>
                <w:szCs w:val="22"/>
              </w:rPr>
              <w:t xml:space="preserve"> </w:t>
            </w:r>
            <w:r w:rsidR="003022AE" w:rsidRPr="006E611C">
              <w:rPr>
                <w:sz w:val="22"/>
                <w:szCs w:val="22"/>
              </w:rPr>
              <w:t xml:space="preserve"> </w:t>
            </w:r>
            <w:r w:rsidR="005B17AB" w:rsidRPr="006E611C">
              <w:rPr>
                <w:sz w:val="22"/>
                <w:szCs w:val="22"/>
              </w:rPr>
              <w:t xml:space="preserve"> </w:t>
            </w:r>
            <w:r w:rsidR="003022AE" w:rsidRPr="006E611C">
              <w:rPr>
                <w:sz w:val="22"/>
                <w:szCs w:val="22"/>
              </w:rPr>
              <w:t xml:space="preserve">  </w:t>
            </w:r>
            <w:r w:rsidR="00C04EDA" w:rsidRPr="006E611C">
              <w:rPr>
                <w:sz w:val="22"/>
                <w:szCs w:val="22"/>
              </w:rPr>
              <w:t>37</w:t>
            </w:r>
            <w:r w:rsidR="00EF39FF">
              <w:rPr>
                <w:sz w:val="22"/>
                <w:szCs w:val="22"/>
              </w:rPr>
              <w:t>6</w:t>
            </w:r>
          </w:p>
        </w:tc>
        <w:tc>
          <w:tcPr>
            <w:tcW w:w="236" w:type="dxa"/>
            <w:tcBorders>
              <w:top w:val="nil"/>
              <w:left w:val="nil"/>
              <w:bottom w:val="nil"/>
              <w:right w:val="nil"/>
            </w:tcBorders>
            <w:vAlign w:val="bottom"/>
          </w:tcPr>
          <w:p w:rsidR="00035FF2" w:rsidRPr="006E611C" w:rsidRDefault="00035FF2" w:rsidP="004E03D6">
            <w:pPr>
              <w:jc w:val="both"/>
              <w:rPr>
                <w:sz w:val="22"/>
                <w:szCs w:val="22"/>
              </w:rPr>
            </w:pPr>
          </w:p>
        </w:tc>
      </w:tr>
      <w:tr w:rsidR="00035FF2" w:rsidRPr="006E611C" w:rsidTr="005B17AB">
        <w:trPr>
          <w:trHeight w:val="360"/>
        </w:trPr>
        <w:tc>
          <w:tcPr>
            <w:tcW w:w="4320" w:type="dxa"/>
            <w:gridSpan w:val="4"/>
            <w:tcBorders>
              <w:top w:val="nil"/>
              <w:left w:val="nil"/>
              <w:right w:val="nil"/>
            </w:tcBorders>
            <w:vAlign w:val="bottom"/>
          </w:tcPr>
          <w:p w:rsidR="00035FF2" w:rsidRPr="006E611C" w:rsidRDefault="00035FF2" w:rsidP="004E03D6">
            <w:pPr>
              <w:jc w:val="both"/>
              <w:rPr>
                <w:sz w:val="22"/>
                <w:szCs w:val="22"/>
              </w:rPr>
            </w:pPr>
          </w:p>
        </w:tc>
        <w:tc>
          <w:tcPr>
            <w:tcW w:w="2070" w:type="dxa"/>
            <w:gridSpan w:val="2"/>
            <w:tcBorders>
              <w:top w:val="nil"/>
              <w:left w:val="nil"/>
              <w:right w:val="nil"/>
            </w:tcBorders>
            <w:vAlign w:val="bottom"/>
          </w:tcPr>
          <w:p w:rsidR="00035FF2" w:rsidRPr="006E611C" w:rsidRDefault="00035FF2" w:rsidP="004E03D6">
            <w:pPr>
              <w:jc w:val="both"/>
              <w:rPr>
                <w:sz w:val="22"/>
                <w:szCs w:val="22"/>
              </w:rPr>
            </w:pPr>
            <w:r w:rsidRPr="006E611C">
              <w:rPr>
                <w:sz w:val="22"/>
                <w:szCs w:val="22"/>
              </w:rPr>
              <w:t xml:space="preserve">               </w:t>
            </w:r>
          </w:p>
        </w:tc>
        <w:tc>
          <w:tcPr>
            <w:tcW w:w="450" w:type="dxa"/>
            <w:gridSpan w:val="2"/>
            <w:tcBorders>
              <w:top w:val="nil"/>
              <w:left w:val="nil"/>
              <w:right w:val="nil"/>
            </w:tcBorders>
            <w:vAlign w:val="bottom"/>
          </w:tcPr>
          <w:p w:rsidR="00035FF2" w:rsidRPr="006E611C" w:rsidRDefault="00035FF2" w:rsidP="004E03D6">
            <w:pPr>
              <w:jc w:val="both"/>
              <w:rPr>
                <w:sz w:val="22"/>
                <w:szCs w:val="22"/>
              </w:rPr>
            </w:pPr>
          </w:p>
        </w:tc>
        <w:tc>
          <w:tcPr>
            <w:tcW w:w="2160" w:type="dxa"/>
            <w:gridSpan w:val="2"/>
            <w:tcBorders>
              <w:top w:val="nil"/>
              <w:left w:val="nil"/>
              <w:right w:val="nil"/>
            </w:tcBorders>
            <w:vAlign w:val="bottom"/>
          </w:tcPr>
          <w:p w:rsidR="00035FF2" w:rsidRPr="006E611C" w:rsidRDefault="00035FF2" w:rsidP="004E03D6">
            <w:pPr>
              <w:jc w:val="both"/>
              <w:rPr>
                <w:sz w:val="22"/>
                <w:szCs w:val="22"/>
              </w:rPr>
            </w:pPr>
            <w:r w:rsidRPr="006E611C">
              <w:rPr>
                <w:sz w:val="22"/>
                <w:szCs w:val="22"/>
              </w:rPr>
              <w:t xml:space="preserve">               </w:t>
            </w:r>
          </w:p>
        </w:tc>
        <w:tc>
          <w:tcPr>
            <w:tcW w:w="236" w:type="dxa"/>
            <w:tcBorders>
              <w:top w:val="nil"/>
              <w:left w:val="nil"/>
              <w:right w:val="nil"/>
            </w:tcBorders>
            <w:vAlign w:val="bottom"/>
          </w:tcPr>
          <w:p w:rsidR="00035FF2" w:rsidRPr="006E611C" w:rsidRDefault="00035FF2" w:rsidP="004E03D6">
            <w:pPr>
              <w:jc w:val="both"/>
              <w:rPr>
                <w:sz w:val="22"/>
                <w:szCs w:val="22"/>
              </w:rPr>
            </w:pPr>
            <w:r w:rsidRPr="006E611C">
              <w:rPr>
                <w:sz w:val="22"/>
                <w:szCs w:val="22"/>
              </w:rPr>
              <w:t xml:space="preserve">              </w:t>
            </w:r>
          </w:p>
        </w:tc>
      </w:tr>
      <w:tr w:rsidR="00035FF2" w:rsidRPr="006E611C" w:rsidTr="005B17AB">
        <w:trPr>
          <w:trHeight w:val="270"/>
        </w:trPr>
        <w:tc>
          <w:tcPr>
            <w:tcW w:w="2790" w:type="dxa"/>
            <w:tcBorders>
              <w:top w:val="nil"/>
              <w:left w:val="nil"/>
              <w:right w:val="nil"/>
            </w:tcBorders>
            <w:vAlign w:val="bottom"/>
          </w:tcPr>
          <w:p w:rsidR="00035FF2" w:rsidRPr="006E611C" w:rsidRDefault="00035FF2" w:rsidP="004E03D6">
            <w:pPr>
              <w:jc w:val="both"/>
              <w:rPr>
                <w:sz w:val="22"/>
                <w:szCs w:val="22"/>
              </w:rPr>
            </w:pPr>
            <w:r w:rsidRPr="006E611C">
              <w:rPr>
                <w:sz w:val="22"/>
                <w:szCs w:val="22"/>
              </w:rPr>
              <w:t>Total</w:t>
            </w:r>
          </w:p>
        </w:tc>
        <w:tc>
          <w:tcPr>
            <w:tcW w:w="1530" w:type="dxa"/>
            <w:gridSpan w:val="3"/>
            <w:tcBorders>
              <w:top w:val="nil"/>
              <w:left w:val="nil"/>
              <w:right w:val="nil"/>
            </w:tcBorders>
            <w:vAlign w:val="bottom"/>
          </w:tcPr>
          <w:p w:rsidR="00035FF2" w:rsidRPr="006E611C" w:rsidRDefault="00035FF2" w:rsidP="004E03D6">
            <w:pPr>
              <w:jc w:val="both"/>
              <w:rPr>
                <w:sz w:val="22"/>
                <w:szCs w:val="22"/>
              </w:rPr>
            </w:pPr>
          </w:p>
        </w:tc>
        <w:tc>
          <w:tcPr>
            <w:tcW w:w="2070" w:type="dxa"/>
            <w:gridSpan w:val="2"/>
            <w:tcBorders>
              <w:left w:val="nil"/>
              <w:right w:val="nil"/>
            </w:tcBorders>
            <w:vAlign w:val="bottom"/>
          </w:tcPr>
          <w:p w:rsidR="00035FF2" w:rsidRPr="006E611C" w:rsidRDefault="00035FF2" w:rsidP="00EF39FF">
            <w:pPr>
              <w:pBdr>
                <w:top w:val="single" w:sz="4" w:space="1" w:color="auto"/>
                <w:bottom w:val="double" w:sz="6" w:space="1" w:color="auto"/>
              </w:pBdr>
              <w:jc w:val="both"/>
              <w:rPr>
                <w:sz w:val="22"/>
                <w:szCs w:val="22"/>
              </w:rPr>
            </w:pPr>
            <w:r w:rsidRPr="006E611C">
              <w:rPr>
                <w:sz w:val="22"/>
                <w:szCs w:val="22"/>
              </w:rPr>
              <w:t xml:space="preserve">            </w:t>
            </w:r>
            <w:r w:rsidR="00225BF3" w:rsidRPr="006E611C">
              <w:rPr>
                <w:sz w:val="22"/>
                <w:szCs w:val="22"/>
              </w:rPr>
              <w:t xml:space="preserve"> </w:t>
            </w:r>
            <w:r w:rsidRPr="006E611C">
              <w:rPr>
                <w:sz w:val="22"/>
                <w:szCs w:val="22"/>
              </w:rPr>
              <w:t xml:space="preserve">   </w:t>
            </w:r>
            <w:r w:rsidR="0032269A" w:rsidRPr="006E611C">
              <w:rPr>
                <w:sz w:val="22"/>
                <w:szCs w:val="22"/>
              </w:rPr>
              <w:t xml:space="preserve"> </w:t>
            </w:r>
            <w:r w:rsidR="00EF39FF">
              <w:rPr>
                <w:sz w:val="22"/>
                <w:szCs w:val="22"/>
              </w:rPr>
              <w:t>3</w:t>
            </w:r>
            <w:r w:rsidR="0032269A" w:rsidRPr="006E611C">
              <w:rPr>
                <w:sz w:val="22"/>
                <w:szCs w:val="22"/>
              </w:rPr>
              <w:t>,</w:t>
            </w:r>
            <w:r w:rsidR="00EF39FF">
              <w:rPr>
                <w:sz w:val="22"/>
                <w:szCs w:val="22"/>
              </w:rPr>
              <w:t>705</w:t>
            </w:r>
          </w:p>
        </w:tc>
        <w:tc>
          <w:tcPr>
            <w:tcW w:w="450" w:type="dxa"/>
            <w:gridSpan w:val="2"/>
            <w:tcBorders>
              <w:left w:val="nil"/>
              <w:right w:val="nil"/>
            </w:tcBorders>
            <w:vAlign w:val="bottom"/>
          </w:tcPr>
          <w:p w:rsidR="00035FF2" w:rsidRPr="006E611C" w:rsidRDefault="00035FF2" w:rsidP="004E03D6">
            <w:pPr>
              <w:jc w:val="both"/>
              <w:rPr>
                <w:sz w:val="22"/>
                <w:szCs w:val="22"/>
              </w:rPr>
            </w:pPr>
          </w:p>
        </w:tc>
        <w:tc>
          <w:tcPr>
            <w:tcW w:w="2160" w:type="dxa"/>
            <w:gridSpan w:val="2"/>
            <w:tcBorders>
              <w:left w:val="nil"/>
              <w:right w:val="nil"/>
            </w:tcBorders>
            <w:vAlign w:val="bottom"/>
          </w:tcPr>
          <w:p w:rsidR="00035FF2" w:rsidRPr="006E611C" w:rsidRDefault="00035FF2" w:rsidP="00EF39FF">
            <w:pPr>
              <w:pBdr>
                <w:top w:val="single" w:sz="4" w:space="1" w:color="auto"/>
                <w:bottom w:val="double" w:sz="6" w:space="1" w:color="auto"/>
              </w:pBdr>
              <w:jc w:val="both"/>
              <w:rPr>
                <w:sz w:val="22"/>
                <w:szCs w:val="22"/>
              </w:rPr>
            </w:pPr>
            <w:r w:rsidRPr="006E611C">
              <w:rPr>
                <w:sz w:val="22"/>
                <w:szCs w:val="22"/>
              </w:rPr>
              <w:t xml:space="preserve">              </w:t>
            </w:r>
            <w:r w:rsidR="005B17AB" w:rsidRPr="006E611C">
              <w:rPr>
                <w:sz w:val="22"/>
                <w:szCs w:val="22"/>
              </w:rPr>
              <w:t xml:space="preserve"> </w:t>
            </w:r>
            <w:r w:rsidR="00225BF3" w:rsidRPr="006E611C">
              <w:rPr>
                <w:sz w:val="22"/>
                <w:szCs w:val="22"/>
              </w:rPr>
              <w:t xml:space="preserve">    </w:t>
            </w:r>
            <w:r w:rsidR="00EF39FF">
              <w:rPr>
                <w:sz w:val="22"/>
                <w:szCs w:val="22"/>
              </w:rPr>
              <w:t>5</w:t>
            </w:r>
            <w:r w:rsidR="0032269A" w:rsidRPr="006E611C">
              <w:rPr>
                <w:sz w:val="22"/>
                <w:szCs w:val="22"/>
              </w:rPr>
              <w:t>,</w:t>
            </w:r>
            <w:r w:rsidR="00EF39FF">
              <w:rPr>
                <w:sz w:val="22"/>
                <w:szCs w:val="22"/>
              </w:rPr>
              <w:t>904</w:t>
            </w:r>
          </w:p>
        </w:tc>
        <w:tc>
          <w:tcPr>
            <w:tcW w:w="236" w:type="dxa"/>
            <w:tcBorders>
              <w:top w:val="nil"/>
              <w:left w:val="nil"/>
              <w:right w:val="nil"/>
            </w:tcBorders>
            <w:vAlign w:val="bottom"/>
          </w:tcPr>
          <w:p w:rsidR="00035FF2" w:rsidRPr="006E611C" w:rsidRDefault="00035FF2" w:rsidP="004E03D6">
            <w:pPr>
              <w:jc w:val="both"/>
              <w:rPr>
                <w:sz w:val="22"/>
                <w:szCs w:val="22"/>
              </w:rPr>
            </w:pPr>
          </w:p>
        </w:tc>
      </w:tr>
    </w:tbl>
    <w:p w:rsidR="00601394" w:rsidRDefault="00601394" w:rsidP="00017EDF">
      <w:pPr>
        <w:ind w:left="1080"/>
        <w:jc w:val="both"/>
        <w:rPr>
          <w:sz w:val="22"/>
          <w:szCs w:val="22"/>
        </w:rPr>
      </w:pPr>
    </w:p>
    <w:p w:rsidR="00643BD5" w:rsidRPr="006E611C" w:rsidRDefault="00643BD5" w:rsidP="00017EDF">
      <w:pPr>
        <w:ind w:left="1080"/>
        <w:jc w:val="both"/>
        <w:rPr>
          <w:sz w:val="22"/>
          <w:szCs w:val="22"/>
        </w:rPr>
      </w:pPr>
      <w:r w:rsidRPr="006E611C">
        <w:rPr>
          <w:sz w:val="22"/>
          <w:szCs w:val="22"/>
        </w:rPr>
        <w:t>The effective tax rate for the period was lower than the statutory income tax rate of 25% due mainly to the following:</w:t>
      </w:r>
    </w:p>
    <w:p w:rsidR="00643BD5" w:rsidRDefault="00643BD5" w:rsidP="00265650">
      <w:pPr>
        <w:jc w:val="both"/>
        <w:rPr>
          <w:sz w:val="22"/>
          <w:szCs w:val="22"/>
          <w:vertAlign w:val="subscript"/>
        </w:rPr>
      </w:pPr>
    </w:p>
    <w:p w:rsidR="00C5597D" w:rsidRDefault="00C5597D" w:rsidP="00265650">
      <w:pPr>
        <w:jc w:val="both"/>
        <w:rPr>
          <w:sz w:val="22"/>
          <w:szCs w:val="22"/>
          <w:vertAlign w:val="subscript"/>
        </w:rPr>
      </w:pPr>
    </w:p>
    <w:p w:rsidR="00C5597D" w:rsidRDefault="00C5597D" w:rsidP="00265650">
      <w:pPr>
        <w:jc w:val="both"/>
        <w:rPr>
          <w:sz w:val="22"/>
          <w:szCs w:val="22"/>
          <w:vertAlign w:val="subscript"/>
        </w:rPr>
      </w:pPr>
    </w:p>
    <w:p w:rsidR="00C5597D" w:rsidRPr="006E611C" w:rsidRDefault="00C5597D" w:rsidP="00265650">
      <w:pPr>
        <w:jc w:val="both"/>
        <w:rPr>
          <w:sz w:val="22"/>
          <w:szCs w:val="22"/>
          <w:vertAlign w:val="subscript"/>
        </w:rPr>
      </w:pPr>
    </w:p>
    <w:p w:rsidR="00643BD5" w:rsidRPr="006E611C" w:rsidRDefault="00643BD5" w:rsidP="00017EDF">
      <w:pPr>
        <w:numPr>
          <w:ilvl w:val="0"/>
          <w:numId w:val="7"/>
        </w:numPr>
        <w:jc w:val="both"/>
        <w:rPr>
          <w:sz w:val="22"/>
          <w:szCs w:val="22"/>
        </w:rPr>
      </w:pPr>
      <w:r w:rsidRPr="006E611C">
        <w:rPr>
          <w:sz w:val="22"/>
          <w:szCs w:val="22"/>
        </w:rPr>
        <w:lastRenderedPageBreak/>
        <w:t>the tax effect of income not taxable in determining taxable profit; and</w:t>
      </w:r>
    </w:p>
    <w:p w:rsidR="00643BD5" w:rsidRPr="006E611C" w:rsidRDefault="00643BD5" w:rsidP="00017EDF">
      <w:pPr>
        <w:numPr>
          <w:ilvl w:val="0"/>
          <w:numId w:val="7"/>
        </w:numPr>
        <w:jc w:val="both"/>
        <w:rPr>
          <w:sz w:val="22"/>
          <w:szCs w:val="22"/>
        </w:rPr>
      </w:pPr>
      <w:proofErr w:type="gramStart"/>
      <w:r w:rsidRPr="006E611C">
        <w:rPr>
          <w:sz w:val="22"/>
          <w:szCs w:val="22"/>
        </w:rPr>
        <w:t>the</w:t>
      </w:r>
      <w:proofErr w:type="gramEnd"/>
      <w:r w:rsidRPr="006E611C">
        <w:rPr>
          <w:sz w:val="22"/>
          <w:szCs w:val="22"/>
        </w:rPr>
        <w:t xml:space="preserve"> tax effect of double deduction on import insurance. </w:t>
      </w:r>
    </w:p>
    <w:p w:rsidR="00643BD5" w:rsidRPr="006E611C" w:rsidRDefault="00643BD5" w:rsidP="00513C94">
      <w:pPr>
        <w:jc w:val="both"/>
        <w:rPr>
          <w:sz w:val="22"/>
          <w:szCs w:val="22"/>
        </w:rPr>
      </w:pPr>
    </w:p>
    <w:p w:rsidR="00643BD5" w:rsidRPr="006E611C" w:rsidRDefault="00643BD5" w:rsidP="00513C94">
      <w:pPr>
        <w:ind w:left="360" w:firstLine="720"/>
        <w:jc w:val="both"/>
        <w:rPr>
          <w:sz w:val="22"/>
          <w:szCs w:val="22"/>
        </w:rPr>
      </w:pPr>
      <w:r w:rsidRPr="006E611C">
        <w:rPr>
          <w:sz w:val="22"/>
          <w:szCs w:val="22"/>
        </w:rPr>
        <w:t>However, the reduction is partly offset by expenses not deductible for tax purposes.</w:t>
      </w:r>
    </w:p>
    <w:p w:rsidR="00643BD5" w:rsidRPr="006E611C" w:rsidRDefault="00643BD5" w:rsidP="00513C94">
      <w:pPr>
        <w:ind w:left="360" w:firstLine="720"/>
        <w:jc w:val="both"/>
        <w:rPr>
          <w:sz w:val="22"/>
          <w:szCs w:val="22"/>
        </w:rPr>
      </w:pPr>
    </w:p>
    <w:p w:rsidR="005A159A" w:rsidRPr="006E611C" w:rsidRDefault="005A159A" w:rsidP="001F64CA">
      <w:pPr>
        <w:tabs>
          <w:tab w:val="left" w:pos="1080"/>
        </w:tabs>
        <w:jc w:val="both"/>
        <w:rPr>
          <w:sz w:val="22"/>
          <w:szCs w:val="22"/>
        </w:rPr>
      </w:pPr>
    </w:p>
    <w:p w:rsidR="00643BD5" w:rsidRPr="006E611C" w:rsidRDefault="001F64CA" w:rsidP="008A18FC">
      <w:pPr>
        <w:tabs>
          <w:tab w:val="left" w:pos="1080"/>
        </w:tabs>
        <w:ind w:left="1080" w:hanging="720"/>
        <w:jc w:val="both"/>
        <w:rPr>
          <w:b/>
          <w:bCs/>
          <w:sz w:val="22"/>
          <w:szCs w:val="22"/>
        </w:rPr>
      </w:pPr>
      <w:r w:rsidRPr="006E611C">
        <w:rPr>
          <w:b/>
          <w:bCs/>
          <w:sz w:val="22"/>
          <w:szCs w:val="22"/>
        </w:rPr>
        <w:t>B6</w:t>
      </w:r>
      <w:r w:rsidR="00643BD5" w:rsidRPr="006E611C">
        <w:rPr>
          <w:b/>
          <w:bCs/>
          <w:sz w:val="22"/>
          <w:szCs w:val="22"/>
        </w:rPr>
        <w:t>.</w:t>
      </w:r>
      <w:r w:rsidR="00643BD5" w:rsidRPr="006E611C">
        <w:rPr>
          <w:sz w:val="22"/>
          <w:szCs w:val="22"/>
        </w:rPr>
        <w:tab/>
      </w:r>
      <w:r w:rsidR="00643BD5" w:rsidRPr="006E611C">
        <w:rPr>
          <w:b/>
          <w:bCs/>
          <w:sz w:val="22"/>
          <w:szCs w:val="22"/>
        </w:rPr>
        <w:t xml:space="preserve">Status of corporate proposal announced </w:t>
      </w:r>
    </w:p>
    <w:p w:rsidR="00643BD5" w:rsidRPr="006E611C" w:rsidRDefault="00643BD5" w:rsidP="008A18FC">
      <w:pPr>
        <w:jc w:val="both"/>
        <w:rPr>
          <w:sz w:val="22"/>
          <w:szCs w:val="22"/>
        </w:rPr>
      </w:pPr>
    </w:p>
    <w:p w:rsidR="00643BD5" w:rsidRPr="006E611C" w:rsidRDefault="00643BD5" w:rsidP="005A3150">
      <w:pPr>
        <w:ind w:left="1080"/>
        <w:jc w:val="both"/>
        <w:rPr>
          <w:sz w:val="22"/>
          <w:szCs w:val="22"/>
        </w:rPr>
      </w:pPr>
      <w:r w:rsidRPr="006E611C">
        <w:rPr>
          <w:sz w:val="22"/>
          <w:szCs w:val="22"/>
        </w:rPr>
        <w:t>There is no corporate proposal announced but not completed as at the date of this announcement.</w:t>
      </w:r>
    </w:p>
    <w:p w:rsidR="00643BD5" w:rsidRDefault="00643BD5" w:rsidP="008A18FC">
      <w:pPr>
        <w:ind w:left="1080"/>
        <w:jc w:val="both"/>
        <w:rPr>
          <w:sz w:val="22"/>
          <w:szCs w:val="22"/>
        </w:rPr>
      </w:pPr>
    </w:p>
    <w:p w:rsidR="00753EE1" w:rsidRPr="006E611C" w:rsidRDefault="00753EE1" w:rsidP="008A18FC">
      <w:pPr>
        <w:ind w:left="1080"/>
        <w:jc w:val="both"/>
        <w:rPr>
          <w:sz w:val="22"/>
          <w:szCs w:val="22"/>
        </w:rPr>
      </w:pPr>
    </w:p>
    <w:p w:rsidR="00643BD5" w:rsidRPr="006E611C" w:rsidRDefault="001F64CA" w:rsidP="008A18FC">
      <w:pPr>
        <w:tabs>
          <w:tab w:val="left" w:pos="1080"/>
        </w:tabs>
        <w:ind w:left="1080" w:hanging="720"/>
        <w:jc w:val="both"/>
        <w:rPr>
          <w:b/>
          <w:bCs/>
          <w:sz w:val="22"/>
          <w:szCs w:val="22"/>
        </w:rPr>
      </w:pPr>
      <w:r w:rsidRPr="006E611C">
        <w:rPr>
          <w:b/>
          <w:bCs/>
          <w:sz w:val="22"/>
          <w:szCs w:val="22"/>
        </w:rPr>
        <w:t>B7</w:t>
      </w:r>
      <w:r w:rsidR="00643BD5" w:rsidRPr="006E611C">
        <w:rPr>
          <w:b/>
          <w:bCs/>
          <w:sz w:val="22"/>
          <w:szCs w:val="22"/>
        </w:rPr>
        <w:t xml:space="preserve">. </w:t>
      </w:r>
      <w:r w:rsidR="00643BD5" w:rsidRPr="006E611C">
        <w:rPr>
          <w:b/>
          <w:bCs/>
          <w:sz w:val="22"/>
          <w:szCs w:val="22"/>
        </w:rPr>
        <w:tab/>
        <w:t xml:space="preserve">Details of treasury shares </w:t>
      </w:r>
    </w:p>
    <w:p w:rsidR="00643BD5" w:rsidRPr="006E611C" w:rsidRDefault="00643BD5" w:rsidP="008A18FC">
      <w:pPr>
        <w:tabs>
          <w:tab w:val="left" w:pos="1080"/>
        </w:tabs>
        <w:ind w:left="1080" w:hanging="720"/>
        <w:jc w:val="both"/>
        <w:rPr>
          <w:b/>
          <w:bCs/>
          <w:sz w:val="22"/>
          <w:szCs w:val="22"/>
        </w:rPr>
      </w:pPr>
      <w:r w:rsidRPr="006E611C">
        <w:rPr>
          <w:b/>
          <w:bCs/>
          <w:sz w:val="22"/>
          <w:szCs w:val="22"/>
        </w:rPr>
        <w:tab/>
      </w:r>
      <w:r w:rsidRPr="006E611C">
        <w:rPr>
          <w:bCs/>
          <w:sz w:val="22"/>
          <w:szCs w:val="22"/>
        </w:rPr>
        <w:tab/>
      </w:r>
    </w:p>
    <w:p w:rsidR="00643BD5" w:rsidRPr="006E611C" w:rsidRDefault="00643BD5" w:rsidP="00F17FCF">
      <w:pPr>
        <w:tabs>
          <w:tab w:val="left" w:pos="1080"/>
        </w:tabs>
        <w:ind w:left="1080" w:hanging="720"/>
        <w:jc w:val="both"/>
        <w:rPr>
          <w:bCs/>
          <w:sz w:val="22"/>
          <w:szCs w:val="22"/>
        </w:rPr>
      </w:pPr>
      <w:r w:rsidRPr="006E611C">
        <w:rPr>
          <w:bCs/>
          <w:sz w:val="22"/>
          <w:szCs w:val="22"/>
        </w:rPr>
        <w:tab/>
        <w:t>The Company did not buy-back any of its own shares during the quarter under review. As at the end of the reporting quarter, the status of the share buy-back is as follows:-</w:t>
      </w:r>
    </w:p>
    <w:p w:rsidR="00643BD5" w:rsidRPr="006E611C" w:rsidRDefault="00643BD5" w:rsidP="008A18FC">
      <w:pPr>
        <w:tabs>
          <w:tab w:val="left" w:pos="1080"/>
        </w:tabs>
        <w:ind w:left="1080" w:hanging="720"/>
        <w:jc w:val="both"/>
        <w:rPr>
          <w:bCs/>
          <w:sz w:val="22"/>
          <w:szCs w:val="22"/>
        </w:rPr>
      </w:pPr>
      <w:r w:rsidRPr="006E611C">
        <w:rPr>
          <w:bCs/>
          <w:sz w:val="22"/>
          <w:szCs w:val="22"/>
        </w:rPr>
        <w:tab/>
      </w:r>
    </w:p>
    <w:p w:rsidR="00643BD5" w:rsidRPr="006E611C" w:rsidRDefault="00643BD5" w:rsidP="008A18FC">
      <w:pPr>
        <w:tabs>
          <w:tab w:val="left" w:pos="1080"/>
        </w:tabs>
        <w:ind w:left="1080" w:hanging="720"/>
        <w:jc w:val="both"/>
        <w:rPr>
          <w:bCs/>
          <w:sz w:val="22"/>
          <w:szCs w:val="22"/>
        </w:rPr>
      </w:pP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t xml:space="preserve">Current </w:t>
      </w:r>
      <w:r w:rsidRPr="006E611C">
        <w:rPr>
          <w:bCs/>
          <w:sz w:val="22"/>
          <w:szCs w:val="22"/>
        </w:rPr>
        <w:tab/>
      </w:r>
      <w:r w:rsidRPr="006E611C">
        <w:rPr>
          <w:bCs/>
          <w:sz w:val="22"/>
          <w:szCs w:val="22"/>
        </w:rPr>
        <w:tab/>
        <w:t>Accumulated</w:t>
      </w:r>
    </w:p>
    <w:p w:rsidR="00643BD5" w:rsidRPr="006E611C" w:rsidRDefault="00643BD5" w:rsidP="008A18FC">
      <w:pPr>
        <w:tabs>
          <w:tab w:val="left" w:pos="1080"/>
        </w:tabs>
        <w:ind w:left="1080" w:hanging="720"/>
        <w:jc w:val="both"/>
        <w:rPr>
          <w:bCs/>
          <w:sz w:val="22"/>
          <w:szCs w:val="22"/>
        </w:rPr>
      </w:pP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t>Year-to-Date</w:t>
      </w:r>
      <w:r w:rsidRPr="006E611C">
        <w:rPr>
          <w:bCs/>
          <w:sz w:val="22"/>
          <w:szCs w:val="22"/>
        </w:rPr>
        <w:tab/>
      </w:r>
      <w:r w:rsidRPr="006E611C">
        <w:rPr>
          <w:bCs/>
          <w:sz w:val="22"/>
          <w:szCs w:val="22"/>
        </w:rPr>
        <w:tab/>
        <w:t>Total</w:t>
      </w:r>
    </w:p>
    <w:p w:rsidR="00643BD5" w:rsidRPr="006E611C" w:rsidRDefault="00643BD5" w:rsidP="008A18FC">
      <w:pPr>
        <w:tabs>
          <w:tab w:val="left" w:pos="1080"/>
        </w:tabs>
        <w:ind w:left="1080" w:hanging="720"/>
        <w:jc w:val="both"/>
        <w:rPr>
          <w:bCs/>
          <w:sz w:val="22"/>
          <w:szCs w:val="22"/>
        </w:rPr>
      </w:pP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r>
      <w:r w:rsidRPr="006E611C">
        <w:rPr>
          <w:bCs/>
          <w:sz w:val="22"/>
          <w:szCs w:val="22"/>
        </w:rPr>
        <w:tab/>
        <w:t>----------------------</w:t>
      </w:r>
      <w:r w:rsidRPr="006E611C">
        <w:rPr>
          <w:bCs/>
          <w:sz w:val="22"/>
          <w:szCs w:val="22"/>
        </w:rPr>
        <w:tab/>
        <w:t>-----------------</w:t>
      </w:r>
    </w:p>
    <w:p w:rsidR="00643BD5" w:rsidRPr="006E611C" w:rsidRDefault="00643BD5" w:rsidP="008A18FC">
      <w:pPr>
        <w:tabs>
          <w:tab w:val="left" w:pos="1080"/>
        </w:tabs>
        <w:ind w:left="1080" w:hanging="720"/>
        <w:jc w:val="both"/>
        <w:rPr>
          <w:bCs/>
          <w:sz w:val="22"/>
          <w:szCs w:val="22"/>
        </w:rPr>
      </w:pPr>
      <w:r w:rsidRPr="006E611C">
        <w:rPr>
          <w:bCs/>
          <w:sz w:val="22"/>
          <w:szCs w:val="22"/>
        </w:rPr>
        <w:tab/>
      </w:r>
      <w:r w:rsidRPr="006E611C">
        <w:rPr>
          <w:bCs/>
          <w:sz w:val="22"/>
          <w:szCs w:val="22"/>
        </w:rPr>
        <w:tab/>
        <w:t>Description of shares purchased:</w:t>
      </w:r>
      <w:r w:rsidRPr="006E611C">
        <w:rPr>
          <w:bCs/>
          <w:sz w:val="22"/>
          <w:szCs w:val="22"/>
        </w:rPr>
        <w:tab/>
      </w:r>
      <w:r w:rsidRPr="006E611C">
        <w:rPr>
          <w:bCs/>
          <w:sz w:val="22"/>
          <w:szCs w:val="22"/>
        </w:rPr>
        <w:tab/>
      </w:r>
      <w:r w:rsidRPr="006E611C">
        <w:rPr>
          <w:bCs/>
          <w:sz w:val="22"/>
          <w:szCs w:val="22"/>
        </w:rPr>
        <w:tab/>
        <w:t>Ordinary share of RM1.00 each:</w:t>
      </w:r>
    </w:p>
    <w:p w:rsidR="00643BD5" w:rsidRPr="006E611C" w:rsidRDefault="00643BD5" w:rsidP="008A18FC">
      <w:pPr>
        <w:tabs>
          <w:tab w:val="left" w:pos="1080"/>
        </w:tabs>
        <w:ind w:left="1080" w:hanging="720"/>
        <w:jc w:val="both"/>
        <w:rPr>
          <w:bCs/>
          <w:sz w:val="22"/>
          <w:szCs w:val="22"/>
        </w:rPr>
      </w:pPr>
      <w:r w:rsidRPr="006E611C">
        <w:rPr>
          <w:bCs/>
          <w:sz w:val="22"/>
          <w:szCs w:val="22"/>
        </w:rPr>
        <w:tab/>
      </w:r>
      <w:r w:rsidRPr="006E611C">
        <w:rPr>
          <w:bCs/>
          <w:sz w:val="22"/>
          <w:szCs w:val="22"/>
        </w:rPr>
        <w:tab/>
      </w:r>
    </w:p>
    <w:p w:rsidR="00643BD5" w:rsidRPr="006E611C" w:rsidRDefault="00643BD5" w:rsidP="008A18FC">
      <w:pPr>
        <w:tabs>
          <w:tab w:val="left" w:pos="1080"/>
        </w:tabs>
        <w:ind w:left="1080" w:hanging="720"/>
        <w:jc w:val="both"/>
        <w:rPr>
          <w:bCs/>
          <w:sz w:val="22"/>
          <w:szCs w:val="22"/>
        </w:rPr>
      </w:pPr>
      <w:r w:rsidRPr="006E611C">
        <w:rPr>
          <w:bCs/>
          <w:sz w:val="22"/>
          <w:szCs w:val="22"/>
        </w:rPr>
        <w:tab/>
      </w:r>
      <w:r w:rsidRPr="006E611C">
        <w:rPr>
          <w:bCs/>
          <w:sz w:val="22"/>
          <w:szCs w:val="22"/>
        </w:rPr>
        <w:tab/>
        <w:t>Number of shares purchased:</w:t>
      </w:r>
      <w:r w:rsidRPr="006E611C">
        <w:rPr>
          <w:bCs/>
          <w:sz w:val="22"/>
          <w:szCs w:val="22"/>
        </w:rPr>
        <w:tab/>
      </w:r>
      <w:r w:rsidRPr="006E611C">
        <w:rPr>
          <w:bCs/>
          <w:sz w:val="22"/>
          <w:szCs w:val="22"/>
        </w:rPr>
        <w:tab/>
      </w:r>
      <w:r w:rsidRPr="006E611C">
        <w:rPr>
          <w:bCs/>
          <w:sz w:val="22"/>
          <w:szCs w:val="22"/>
        </w:rPr>
        <w:tab/>
        <w:t>Nil</w:t>
      </w:r>
      <w:r w:rsidRPr="006E611C">
        <w:rPr>
          <w:bCs/>
          <w:sz w:val="22"/>
          <w:szCs w:val="22"/>
        </w:rPr>
        <w:tab/>
      </w:r>
      <w:r w:rsidRPr="006E611C">
        <w:rPr>
          <w:bCs/>
          <w:sz w:val="22"/>
          <w:szCs w:val="22"/>
        </w:rPr>
        <w:tab/>
      </w:r>
      <w:r w:rsidRPr="006E611C">
        <w:rPr>
          <w:bCs/>
          <w:sz w:val="22"/>
          <w:szCs w:val="22"/>
        </w:rPr>
        <w:tab/>
        <w:t>6,800,000</w:t>
      </w:r>
    </w:p>
    <w:p w:rsidR="00643BD5" w:rsidRPr="006E611C" w:rsidRDefault="00643BD5" w:rsidP="008A18FC">
      <w:pPr>
        <w:tabs>
          <w:tab w:val="left" w:pos="1080"/>
        </w:tabs>
        <w:ind w:left="1080" w:hanging="720"/>
        <w:jc w:val="both"/>
        <w:rPr>
          <w:bCs/>
          <w:sz w:val="22"/>
          <w:szCs w:val="22"/>
        </w:rPr>
      </w:pPr>
      <w:r w:rsidRPr="006E611C">
        <w:rPr>
          <w:bCs/>
          <w:sz w:val="22"/>
          <w:szCs w:val="22"/>
        </w:rPr>
        <w:tab/>
      </w:r>
      <w:r w:rsidRPr="006E611C">
        <w:rPr>
          <w:bCs/>
          <w:sz w:val="22"/>
          <w:szCs w:val="22"/>
        </w:rPr>
        <w:tab/>
        <w:t>Number of shares cancelled:</w:t>
      </w:r>
      <w:r w:rsidRPr="006E611C">
        <w:rPr>
          <w:bCs/>
          <w:sz w:val="22"/>
          <w:szCs w:val="22"/>
        </w:rPr>
        <w:tab/>
      </w:r>
      <w:r w:rsidRPr="006E611C">
        <w:rPr>
          <w:bCs/>
          <w:sz w:val="22"/>
          <w:szCs w:val="22"/>
        </w:rPr>
        <w:tab/>
      </w:r>
      <w:r w:rsidRPr="006E611C">
        <w:rPr>
          <w:bCs/>
          <w:sz w:val="22"/>
          <w:szCs w:val="22"/>
        </w:rPr>
        <w:tab/>
        <w:t>Nil</w:t>
      </w:r>
      <w:r w:rsidRPr="006E611C">
        <w:rPr>
          <w:bCs/>
          <w:sz w:val="22"/>
          <w:szCs w:val="22"/>
        </w:rPr>
        <w:tab/>
      </w:r>
      <w:r w:rsidRPr="006E611C">
        <w:rPr>
          <w:bCs/>
          <w:sz w:val="22"/>
          <w:szCs w:val="22"/>
        </w:rPr>
        <w:tab/>
      </w:r>
      <w:r w:rsidRPr="006E611C">
        <w:rPr>
          <w:bCs/>
          <w:sz w:val="22"/>
          <w:szCs w:val="22"/>
        </w:rPr>
        <w:tab/>
        <w:t>Nil</w:t>
      </w:r>
    </w:p>
    <w:p w:rsidR="00643BD5" w:rsidRPr="006E611C" w:rsidRDefault="00643BD5" w:rsidP="008A18FC">
      <w:pPr>
        <w:tabs>
          <w:tab w:val="left" w:pos="1080"/>
        </w:tabs>
        <w:ind w:left="1080" w:hanging="720"/>
        <w:jc w:val="both"/>
        <w:rPr>
          <w:bCs/>
          <w:sz w:val="22"/>
          <w:szCs w:val="22"/>
        </w:rPr>
      </w:pPr>
      <w:r w:rsidRPr="006E611C">
        <w:rPr>
          <w:bCs/>
          <w:sz w:val="22"/>
          <w:szCs w:val="22"/>
        </w:rPr>
        <w:tab/>
      </w:r>
      <w:r w:rsidRPr="006E611C">
        <w:rPr>
          <w:bCs/>
          <w:sz w:val="22"/>
          <w:szCs w:val="22"/>
        </w:rPr>
        <w:tab/>
        <w:t>Number of shares held as treasury shares:</w:t>
      </w:r>
      <w:r w:rsidRPr="006E611C">
        <w:rPr>
          <w:bCs/>
          <w:sz w:val="22"/>
          <w:szCs w:val="22"/>
        </w:rPr>
        <w:tab/>
        <w:t xml:space="preserve">Nil </w:t>
      </w:r>
      <w:r w:rsidRPr="006E611C">
        <w:rPr>
          <w:bCs/>
          <w:sz w:val="22"/>
          <w:szCs w:val="22"/>
        </w:rPr>
        <w:tab/>
      </w:r>
      <w:r w:rsidRPr="006E611C">
        <w:rPr>
          <w:bCs/>
          <w:sz w:val="22"/>
          <w:szCs w:val="22"/>
        </w:rPr>
        <w:tab/>
      </w:r>
      <w:r w:rsidRPr="006E611C">
        <w:rPr>
          <w:bCs/>
          <w:sz w:val="22"/>
          <w:szCs w:val="22"/>
        </w:rPr>
        <w:tab/>
        <w:t>6,800,000</w:t>
      </w:r>
    </w:p>
    <w:p w:rsidR="00643BD5" w:rsidRPr="006E611C" w:rsidRDefault="00643BD5" w:rsidP="008A18FC">
      <w:pPr>
        <w:tabs>
          <w:tab w:val="left" w:pos="1080"/>
        </w:tabs>
        <w:ind w:left="1080" w:hanging="720"/>
        <w:jc w:val="both"/>
        <w:rPr>
          <w:bCs/>
          <w:sz w:val="22"/>
          <w:szCs w:val="22"/>
        </w:rPr>
      </w:pPr>
      <w:r w:rsidRPr="006E611C">
        <w:rPr>
          <w:bCs/>
          <w:sz w:val="22"/>
          <w:szCs w:val="22"/>
        </w:rPr>
        <w:tab/>
      </w:r>
      <w:r w:rsidRPr="006E611C">
        <w:rPr>
          <w:bCs/>
          <w:sz w:val="22"/>
          <w:szCs w:val="22"/>
        </w:rPr>
        <w:tab/>
        <w:t>Number of treasury shares resold:</w:t>
      </w:r>
      <w:r w:rsidRPr="006E611C">
        <w:rPr>
          <w:bCs/>
          <w:sz w:val="22"/>
          <w:szCs w:val="22"/>
        </w:rPr>
        <w:tab/>
      </w:r>
      <w:r w:rsidRPr="006E611C">
        <w:rPr>
          <w:bCs/>
          <w:sz w:val="22"/>
          <w:szCs w:val="22"/>
        </w:rPr>
        <w:tab/>
        <w:t>Nil</w:t>
      </w:r>
      <w:r w:rsidRPr="006E611C">
        <w:rPr>
          <w:bCs/>
          <w:sz w:val="22"/>
          <w:szCs w:val="22"/>
        </w:rPr>
        <w:tab/>
      </w:r>
      <w:r w:rsidRPr="006E611C">
        <w:rPr>
          <w:bCs/>
          <w:sz w:val="22"/>
          <w:szCs w:val="22"/>
        </w:rPr>
        <w:tab/>
      </w:r>
      <w:r w:rsidRPr="006E611C">
        <w:rPr>
          <w:bCs/>
          <w:sz w:val="22"/>
          <w:szCs w:val="22"/>
        </w:rPr>
        <w:tab/>
        <w:t>Nil</w:t>
      </w:r>
    </w:p>
    <w:p w:rsidR="00643BD5" w:rsidRPr="006E611C" w:rsidRDefault="00643BD5" w:rsidP="008A18FC">
      <w:pPr>
        <w:tabs>
          <w:tab w:val="left" w:pos="1080"/>
        </w:tabs>
        <w:ind w:left="1080" w:hanging="720"/>
        <w:jc w:val="both"/>
        <w:rPr>
          <w:b/>
          <w:bCs/>
          <w:sz w:val="22"/>
          <w:szCs w:val="22"/>
        </w:rPr>
      </w:pPr>
    </w:p>
    <w:p w:rsidR="00643BD5" w:rsidRPr="006E611C" w:rsidRDefault="00643BD5" w:rsidP="008A18FC">
      <w:pPr>
        <w:tabs>
          <w:tab w:val="left" w:pos="1080"/>
        </w:tabs>
        <w:ind w:left="1080" w:hanging="720"/>
        <w:jc w:val="both"/>
        <w:rPr>
          <w:b/>
          <w:bCs/>
          <w:sz w:val="22"/>
          <w:szCs w:val="22"/>
        </w:rPr>
      </w:pPr>
    </w:p>
    <w:p w:rsidR="00643BD5" w:rsidRPr="006E611C" w:rsidRDefault="001F64CA" w:rsidP="008A18FC">
      <w:pPr>
        <w:tabs>
          <w:tab w:val="left" w:pos="1080"/>
        </w:tabs>
        <w:ind w:left="1080" w:hanging="720"/>
        <w:jc w:val="both"/>
        <w:rPr>
          <w:b/>
          <w:bCs/>
          <w:sz w:val="22"/>
          <w:szCs w:val="22"/>
        </w:rPr>
      </w:pPr>
      <w:r w:rsidRPr="006E611C">
        <w:rPr>
          <w:b/>
          <w:bCs/>
          <w:sz w:val="22"/>
          <w:szCs w:val="22"/>
        </w:rPr>
        <w:t>B8</w:t>
      </w:r>
      <w:r w:rsidR="00643BD5" w:rsidRPr="006E611C">
        <w:rPr>
          <w:b/>
          <w:bCs/>
          <w:sz w:val="22"/>
          <w:szCs w:val="22"/>
        </w:rPr>
        <w:t>.</w:t>
      </w:r>
      <w:r w:rsidR="00643BD5" w:rsidRPr="006E611C">
        <w:rPr>
          <w:sz w:val="22"/>
          <w:szCs w:val="22"/>
        </w:rPr>
        <w:tab/>
      </w:r>
      <w:r w:rsidR="00643BD5" w:rsidRPr="006E611C">
        <w:rPr>
          <w:b/>
          <w:bCs/>
          <w:sz w:val="22"/>
          <w:szCs w:val="22"/>
        </w:rPr>
        <w:t xml:space="preserve">Group borrowings </w:t>
      </w:r>
    </w:p>
    <w:p w:rsidR="00643BD5" w:rsidRPr="006E611C" w:rsidRDefault="00643BD5" w:rsidP="008A18FC">
      <w:pPr>
        <w:pStyle w:val="BodyText"/>
        <w:tabs>
          <w:tab w:val="left" w:pos="-1800"/>
        </w:tabs>
        <w:jc w:val="both"/>
        <w:rPr>
          <w:i w:val="0"/>
          <w:iCs w:val="0"/>
          <w:sz w:val="22"/>
          <w:szCs w:val="22"/>
        </w:rPr>
      </w:pPr>
    </w:p>
    <w:p w:rsidR="006723C3" w:rsidRPr="006E611C" w:rsidRDefault="006723C3" w:rsidP="006723C3">
      <w:pPr>
        <w:pStyle w:val="BodyText"/>
        <w:tabs>
          <w:tab w:val="left" w:pos="-1800"/>
        </w:tabs>
        <w:ind w:firstLine="1080"/>
        <w:jc w:val="both"/>
        <w:rPr>
          <w:i w:val="0"/>
          <w:iCs w:val="0"/>
          <w:sz w:val="22"/>
          <w:szCs w:val="22"/>
        </w:rPr>
      </w:pPr>
      <w:r w:rsidRPr="006E611C">
        <w:rPr>
          <w:i w:val="0"/>
          <w:iCs w:val="0"/>
          <w:sz w:val="22"/>
          <w:szCs w:val="22"/>
        </w:rPr>
        <w:t>The Group’s borrowings as at the end of the reporting quarter are as follows:</w:t>
      </w:r>
    </w:p>
    <w:p w:rsidR="006723C3" w:rsidRPr="006E611C" w:rsidRDefault="006723C3" w:rsidP="006723C3">
      <w:pPr>
        <w:pStyle w:val="BodyText"/>
        <w:tabs>
          <w:tab w:val="left" w:pos="-1800"/>
        </w:tabs>
        <w:ind w:firstLine="1080"/>
        <w:jc w:val="both"/>
        <w:rPr>
          <w:i w:val="0"/>
          <w:iCs w:val="0"/>
          <w:sz w:val="22"/>
          <w:szCs w:val="22"/>
        </w:rPr>
      </w:pPr>
    </w:p>
    <w:bookmarkStart w:id="3" w:name="_MON_1396709222"/>
    <w:bookmarkEnd w:id="3"/>
    <w:bookmarkStart w:id="4" w:name="_MON_1396444715"/>
    <w:bookmarkEnd w:id="4"/>
    <w:p w:rsidR="006723C3" w:rsidRPr="006E611C" w:rsidRDefault="00EF39FF" w:rsidP="006723C3">
      <w:pPr>
        <w:pStyle w:val="BodyText"/>
        <w:tabs>
          <w:tab w:val="left" w:pos="-1800"/>
        </w:tabs>
        <w:ind w:firstLine="1080"/>
        <w:jc w:val="both"/>
        <w:rPr>
          <w:i w:val="0"/>
          <w:iCs w:val="0"/>
          <w:sz w:val="22"/>
          <w:szCs w:val="22"/>
        </w:rPr>
      </w:pPr>
      <w:r w:rsidRPr="006E611C">
        <w:rPr>
          <w:sz w:val="22"/>
          <w:szCs w:val="22"/>
        </w:rPr>
        <w:object w:dxaOrig="8567" w:dyaOrig="1791">
          <v:shape id="_x0000_i1026" type="#_x0000_t75" style="width:426.75pt;height:90pt" o:ole="" fillcolor="window">
            <v:imagedata r:id="rId10" o:title=""/>
          </v:shape>
          <o:OLEObject Type="Embed" ProgID="Excel.Sheet.8" ShapeID="_x0000_i1026" DrawAspect="Content" ObjectID="_1406711584" r:id="rId11"/>
        </w:object>
      </w:r>
    </w:p>
    <w:p w:rsidR="00643BD5" w:rsidRPr="006E611C" w:rsidRDefault="001F64CA" w:rsidP="008A18FC">
      <w:pPr>
        <w:tabs>
          <w:tab w:val="left" w:pos="1080"/>
        </w:tabs>
        <w:ind w:left="1080" w:hanging="720"/>
        <w:jc w:val="both"/>
        <w:rPr>
          <w:b/>
          <w:bCs/>
          <w:sz w:val="22"/>
          <w:szCs w:val="22"/>
        </w:rPr>
      </w:pPr>
      <w:r w:rsidRPr="006E611C">
        <w:rPr>
          <w:b/>
          <w:bCs/>
          <w:sz w:val="22"/>
          <w:szCs w:val="22"/>
        </w:rPr>
        <w:t>B9</w:t>
      </w:r>
      <w:r w:rsidR="00643BD5" w:rsidRPr="006E611C">
        <w:rPr>
          <w:b/>
          <w:bCs/>
          <w:sz w:val="22"/>
          <w:szCs w:val="22"/>
        </w:rPr>
        <w:t>.</w:t>
      </w:r>
      <w:r w:rsidR="00643BD5" w:rsidRPr="006E611C">
        <w:rPr>
          <w:sz w:val="22"/>
          <w:szCs w:val="22"/>
        </w:rPr>
        <w:tab/>
      </w:r>
      <w:r w:rsidR="00643BD5" w:rsidRPr="006E611C">
        <w:rPr>
          <w:b/>
          <w:bCs/>
          <w:sz w:val="22"/>
          <w:szCs w:val="22"/>
        </w:rPr>
        <w:t xml:space="preserve">Changes in material litigation </w:t>
      </w:r>
    </w:p>
    <w:p w:rsidR="00643BD5" w:rsidRPr="006E611C" w:rsidRDefault="00643BD5" w:rsidP="008A18FC">
      <w:pPr>
        <w:jc w:val="both"/>
        <w:rPr>
          <w:sz w:val="22"/>
          <w:szCs w:val="22"/>
        </w:rPr>
      </w:pPr>
    </w:p>
    <w:p w:rsidR="00643BD5" w:rsidRPr="006E611C" w:rsidRDefault="00643BD5" w:rsidP="008A18FC">
      <w:pPr>
        <w:pStyle w:val="BodyTextIndent"/>
        <w:ind w:left="1080"/>
        <w:jc w:val="both"/>
        <w:rPr>
          <w:sz w:val="22"/>
          <w:szCs w:val="22"/>
        </w:rPr>
      </w:pPr>
      <w:r w:rsidRPr="006E611C">
        <w:rPr>
          <w:sz w:val="22"/>
          <w:szCs w:val="22"/>
        </w:rPr>
        <w:t xml:space="preserve">Neither CHB nor any of its subsidiaries is engaged in any litigation or arbitration, either as plaintiff or defendant, which has a material effect on the financial position of the Company or any of its subsidiaries and </w:t>
      </w:r>
      <w:r w:rsidR="00CE07E2">
        <w:rPr>
          <w:sz w:val="22"/>
          <w:szCs w:val="22"/>
        </w:rPr>
        <w:t>save as disclosed in A1</w:t>
      </w:r>
      <w:r w:rsidR="00EF39FF">
        <w:rPr>
          <w:sz w:val="22"/>
          <w:szCs w:val="22"/>
        </w:rPr>
        <w:t>2</w:t>
      </w:r>
      <w:r w:rsidR="00CE07E2">
        <w:rPr>
          <w:sz w:val="22"/>
          <w:szCs w:val="22"/>
        </w:rPr>
        <w:t xml:space="preserve">, </w:t>
      </w:r>
      <w:r w:rsidRPr="006E611C">
        <w:rPr>
          <w:sz w:val="22"/>
          <w:szCs w:val="22"/>
        </w:rPr>
        <w:t>the Board is not aware of any proceedings pending or threatened, or of any fact likely to give rise to any proceedings, which might materially and adversely affect the position or business of the Company or any of its subsidiaries.</w:t>
      </w:r>
    </w:p>
    <w:p w:rsidR="00643BD5" w:rsidRDefault="00643BD5" w:rsidP="008A18FC">
      <w:pPr>
        <w:jc w:val="both"/>
        <w:rPr>
          <w:sz w:val="22"/>
          <w:szCs w:val="22"/>
        </w:rPr>
      </w:pPr>
    </w:p>
    <w:p w:rsidR="00601394" w:rsidRDefault="00601394" w:rsidP="008A18FC">
      <w:pPr>
        <w:jc w:val="both"/>
        <w:rPr>
          <w:sz w:val="22"/>
          <w:szCs w:val="22"/>
        </w:rPr>
      </w:pPr>
    </w:p>
    <w:p w:rsidR="00C5597D" w:rsidRDefault="00C5597D" w:rsidP="008A18FC">
      <w:pPr>
        <w:jc w:val="both"/>
        <w:rPr>
          <w:sz w:val="22"/>
          <w:szCs w:val="22"/>
        </w:rPr>
      </w:pPr>
    </w:p>
    <w:p w:rsidR="00C5597D" w:rsidRDefault="00C5597D" w:rsidP="008A18FC">
      <w:pPr>
        <w:jc w:val="both"/>
        <w:rPr>
          <w:sz w:val="22"/>
          <w:szCs w:val="22"/>
        </w:rPr>
      </w:pPr>
    </w:p>
    <w:p w:rsidR="00C5597D" w:rsidRPr="006E611C" w:rsidRDefault="00C5597D" w:rsidP="008A18FC">
      <w:pPr>
        <w:jc w:val="both"/>
        <w:rPr>
          <w:sz w:val="22"/>
          <w:szCs w:val="22"/>
        </w:rPr>
      </w:pPr>
    </w:p>
    <w:p w:rsidR="00643BD5" w:rsidRPr="006E611C" w:rsidRDefault="001F64CA" w:rsidP="00410A5A">
      <w:pPr>
        <w:tabs>
          <w:tab w:val="left" w:pos="1080"/>
        </w:tabs>
        <w:ind w:left="1080" w:hanging="720"/>
        <w:jc w:val="both"/>
        <w:rPr>
          <w:b/>
          <w:bCs/>
          <w:sz w:val="22"/>
          <w:szCs w:val="22"/>
        </w:rPr>
      </w:pPr>
      <w:r w:rsidRPr="006E611C">
        <w:rPr>
          <w:b/>
          <w:bCs/>
          <w:sz w:val="22"/>
          <w:szCs w:val="22"/>
        </w:rPr>
        <w:t>B10</w:t>
      </w:r>
      <w:r w:rsidR="00643BD5" w:rsidRPr="006E611C">
        <w:rPr>
          <w:b/>
          <w:bCs/>
          <w:sz w:val="22"/>
          <w:szCs w:val="22"/>
        </w:rPr>
        <w:t>.</w:t>
      </w:r>
      <w:r w:rsidR="00643BD5" w:rsidRPr="006E611C">
        <w:rPr>
          <w:sz w:val="22"/>
          <w:szCs w:val="22"/>
        </w:rPr>
        <w:tab/>
      </w:r>
      <w:r w:rsidR="00643BD5" w:rsidRPr="006E611C">
        <w:rPr>
          <w:b/>
          <w:bCs/>
          <w:sz w:val="22"/>
          <w:szCs w:val="22"/>
        </w:rPr>
        <w:t>Dividend recommended by Directors</w:t>
      </w:r>
    </w:p>
    <w:p w:rsidR="00643BD5" w:rsidRPr="006E611C" w:rsidRDefault="00643BD5" w:rsidP="009D0247">
      <w:pPr>
        <w:tabs>
          <w:tab w:val="left" w:pos="1080"/>
        </w:tabs>
        <w:ind w:left="1080" w:hanging="720"/>
        <w:jc w:val="both"/>
        <w:rPr>
          <w:b/>
          <w:bCs/>
          <w:sz w:val="22"/>
          <w:szCs w:val="22"/>
        </w:rPr>
      </w:pPr>
      <w:r w:rsidRPr="006E611C">
        <w:rPr>
          <w:b/>
          <w:bCs/>
          <w:sz w:val="22"/>
          <w:szCs w:val="22"/>
        </w:rPr>
        <w:lastRenderedPageBreak/>
        <w:tab/>
      </w:r>
    </w:p>
    <w:p w:rsidR="00EA3D03" w:rsidRDefault="00EA3D03" w:rsidP="00EA3D03">
      <w:pPr>
        <w:tabs>
          <w:tab w:val="left" w:pos="1080"/>
        </w:tabs>
        <w:ind w:left="1080"/>
        <w:jc w:val="both"/>
        <w:rPr>
          <w:bCs/>
          <w:sz w:val="22"/>
          <w:szCs w:val="22"/>
        </w:rPr>
      </w:pPr>
      <w:r>
        <w:rPr>
          <w:bCs/>
          <w:sz w:val="22"/>
          <w:szCs w:val="22"/>
        </w:rPr>
        <w:t xml:space="preserve">The final single tier system of dividend of 5% or 5 </w:t>
      </w:r>
      <w:proofErr w:type="spellStart"/>
      <w:r>
        <w:rPr>
          <w:bCs/>
          <w:sz w:val="22"/>
          <w:szCs w:val="22"/>
        </w:rPr>
        <w:t>sen</w:t>
      </w:r>
      <w:proofErr w:type="spellEnd"/>
      <w:r>
        <w:rPr>
          <w:bCs/>
          <w:sz w:val="22"/>
          <w:szCs w:val="22"/>
        </w:rPr>
        <w:t xml:space="preserve"> per share and the special single tier system of dividend of 2% or 2 </w:t>
      </w:r>
      <w:proofErr w:type="spellStart"/>
      <w:r>
        <w:rPr>
          <w:bCs/>
          <w:sz w:val="22"/>
          <w:szCs w:val="22"/>
        </w:rPr>
        <w:t>sen</w:t>
      </w:r>
      <w:proofErr w:type="spellEnd"/>
      <w:r>
        <w:rPr>
          <w:bCs/>
          <w:sz w:val="22"/>
          <w:szCs w:val="22"/>
        </w:rPr>
        <w:t xml:space="preserve"> per share for the financial year ended 2011 recommended by the Directors was approved by the shareholders in the Eighth Annual General Meeting of the company held on 21</w:t>
      </w:r>
      <w:r w:rsidRPr="003A7B78">
        <w:rPr>
          <w:bCs/>
          <w:sz w:val="22"/>
          <w:szCs w:val="22"/>
          <w:vertAlign w:val="superscript"/>
        </w:rPr>
        <w:t>st</w:t>
      </w:r>
      <w:r>
        <w:rPr>
          <w:bCs/>
          <w:sz w:val="22"/>
          <w:szCs w:val="22"/>
        </w:rPr>
        <w:t xml:space="preserve"> June 2012.</w:t>
      </w:r>
      <w:r w:rsidRPr="00CA0787">
        <w:rPr>
          <w:bCs/>
          <w:sz w:val="22"/>
          <w:szCs w:val="22"/>
        </w:rPr>
        <w:t xml:space="preserve"> </w:t>
      </w:r>
    </w:p>
    <w:p w:rsidR="00E26606" w:rsidRDefault="00E26606" w:rsidP="008A18FC">
      <w:pPr>
        <w:tabs>
          <w:tab w:val="left" w:pos="1080"/>
        </w:tabs>
        <w:ind w:left="1080" w:hanging="720"/>
        <w:jc w:val="both"/>
        <w:rPr>
          <w:b/>
          <w:bCs/>
          <w:sz w:val="22"/>
          <w:szCs w:val="22"/>
        </w:rPr>
      </w:pPr>
    </w:p>
    <w:p w:rsidR="00EA3D03" w:rsidRDefault="00EA3D03" w:rsidP="008A18FC">
      <w:pPr>
        <w:tabs>
          <w:tab w:val="left" w:pos="1080"/>
        </w:tabs>
        <w:ind w:left="1080" w:hanging="720"/>
        <w:jc w:val="both"/>
        <w:rPr>
          <w:b/>
          <w:bCs/>
          <w:sz w:val="22"/>
          <w:szCs w:val="22"/>
        </w:rPr>
      </w:pPr>
    </w:p>
    <w:p w:rsidR="00643BD5" w:rsidRPr="006E611C" w:rsidRDefault="001F64CA" w:rsidP="008A18FC">
      <w:pPr>
        <w:tabs>
          <w:tab w:val="left" w:pos="1080"/>
        </w:tabs>
        <w:ind w:left="1080" w:hanging="720"/>
        <w:jc w:val="both"/>
        <w:rPr>
          <w:b/>
          <w:bCs/>
          <w:sz w:val="22"/>
          <w:szCs w:val="22"/>
        </w:rPr>
      </w:pPr>
      <w:r w:rsidRPr="006E611C">
        <w:rPr>
          <w:b/>
          <w:bCs/>
          <w:sz w:val="22"/>
          <w:szCs w:val="22"/>
        </w:rPr>
        <w:t>B11</w:t>
      </w:r>
      <w:r w:rsidR="00643BD5" w:rsidRPr="006E611C">
        <w:rPr>
          <w:b/>
          <w:bCs/>
          <w:sz w:val="22"/>
          <w:szCs w:val="22"/>
        </w:rPr>
        <w:t>.</w:t>
      </w:r>
      <w:r w:rsidR="00643BD5" w:rsidRPr="006E611C">
        <w:rPr>
          <w:b/>
          <w:bCs/>
          <w:sz w:val="22"/>
          <w:szCs w:val="22"/>
        </w:rPr>
        <w:tab/>
        <w:t>Earnings per share</w:t>
      </w:r>
    </w:p>
    <w:p w:rsidR="00643BD5" w:rsidRPr="006E611C" w:rsidRDefault="00643BD5" w:rsidP="008A18FC">
      <w:pPr>
        <w:tabs>
          <w:tab w:val="left" w:pos="1080"/>
        </w:tabs>
        <w:ind w:left="1080" w:hanging="720"/>
        <w:jc w:val="both"/>
        <w:rPr>
          <w:b/>
          <w:bCs/>
          <w:sz w:val="22"/>
          <w:szCs w:val="22"/>
        </w:rPr>
      </w:pPr>
    </w:p>
    <w:p w:rsidR="00643BD5" w:rsidRPr="006E611C" w:rsidRDefault="00643BD5" w:rsidP="008A18FC">
      <w:pPr>
        <w:tabs>
          <w:tab w:val="left" w:pos="1080"/>
        </w:tabs>
        <w:ind w:left="1080" w:hanging="720"/>
        <w:jc w:val="both"/>
        <w:rPr>
          <w:sz w:val="22"/>
          <w:szCs w:val="22"/>
        </w:rPr>
      </w:pPr>
      <w:r w:rsidRPr="006E611C">
        <w:rPr>
          <w:b/>
          <w:bCs/>
          <w:sz w:val="22"/>
          <w:szCs w:val="22"/>
        </w:rPr>
        <w:tab/>
      </w:r>
      <w:r w:rsidRPr="006E611C">
        <w:rPr>
          <w:sz w:val="22"/>
          <w:szCs w:val="22"/>
        </w:rPr>
        <w:t>The basic earnings per share and diluted earnings per share for the current quarter and cumulative year to date are computed as follows:-</w:t>
      </w:r>
    </w:p>
    <w:p w:rsidR="00643BD5" w:rsidRPr="006E611C" w:rsidRDefault="00643BD5" w:rsidP="00C76550">
      <w:pPr>
        <w:tabs>
          <w:tab w:val="left" w:pos="1080"/>
        </w:tabs>
        <w:ind w:left="1080"/>
        <w:jc w:val="both"/>
        <w:rPr>
          <w:b/>
          <w:bCs/>
          <w:sz w:val="22"/>
          <w:szCs w:val="22"/>
        </w:rPr>
      </w:pPr>
    </w:p>
    <w:bookmarkStart w:id="5" w:name="_MON_1396444837"/>
    <w:bookmarkEnd w:id="5"/>
    <w:p w:rsidR="00643BD5" w:rsidRPr="006E611C" w:rsidRDefault="00FC754C" w:rsidP="00C20B9C">
      <w:pPr>
        <w:tabs>
          <w:tab w:val="left" w:pos="1080"/>
        </w:tabs>
        <w:ind w:left="1080"/>
        <w:jc w:val="both"/>
        <w:rPr>
          <w:b/>
          <w:bCs/>
          <w:sz w:val="22"/>
          <w:szCs w:val="22"/>
        </w:rPr>
      </w:pPr>
      <w:r w:rsidRPr="006E611C">
        <w:rPr>
          <w:b/>
          <w:bCs/>
          <w:sz w:val="22"/>
          <w:szCs w:val="22"/>
        </w:rPr>
        <w:object w:dxaOrig="8620" w:dyaOrig="3349">
          <v:shape id="_x0000_i1027" type="#_x0000_t75" style="width:426.75pt;height:164.25pt" o:ole="" fillcolor="window">
            <v:imagedata r:id="rId12" o:title=""/>
          </v:shape>
          <o:OLEObject Type="Embed" ProgID="Excel.Sheet.8" ShapeID="_x0000_i1027" DrawAspect="Content" ObjectID="_1406711585" r:id="rId13"/>
        </w:object>
      </w:r>
      <w:r w:rsidR="00643BD5" w:rsidRPr="006E611C">
        <w:rPr>
          <w:b/>
          <w:bCs/>
          <w:sz w:val="22"/>
          <w:szCs w:val="22"/>
        </w:rPr>
        <w:t xml:space="preserve">   </w:t>
      </w:r>
    </w:p>
    <w:p w:rsidR="006F0E41" w:rsidRDefault="006F0E41" w:rsidP="00264BBB">
      <w:pPr>
        <w:tabs>
          <w:tab w:val="left" w:pos="1080"/>
        </w:tabs>
        <w:ind w:left="1080" w:hanging="720"/>
        <w:jc w:val="both"/>
        <w:rPr>
          <w:b/>
          <w:bCs/>
          <w:sz w:val="22"/>
          <w:szCs w:val="22"/>
        </w:rPr>
      </w:pPr>
      <w:r>
        <w:rPr>
          <w:b/>
          <w:bCs/>
          <w:sz w:val="22"/>
          <w:szCs w:val="22"/>
        </w:rPr>
        <w:t>B12.</w:t>
      </w:r>
      <w:r>
        <w:rPr>
          <w:b/>
          <w:bCs/>
          <w:sz w:val="22"/>
          <w:szCs w:val="22"/>
        </w:rPr>
        <w:tab/>
        <w:t xml:space="preserve"> Notes to the Consolidated Statement of Comprehensive Income</w:t>
      </w:r>
    </w:p>
    <w:p w:rsidR="006F0E41" w:rsidRDefault="006F0E41" w:rsidP="00264BBB">
      <w:pPr>
        <w:tabs>
          <w:tab w:val="left" w:pos="1080"/>
        </w:tabs>
        <w:ind w:left="1080" w:hanging="720"/>
        <w:jc w:val="both"/>
        <w:rPr>
          <w:b/>
          <w:bCs/>
          <w:sz w:val="22"/>
          <w:szCs w:val="22"/>
        </w:rPr>
      </w:pPr>
    </w:p>
    <w:p w:rsidR="006F0E41" w:rsidRDefault="00D17B90" w:rsidP="00264BBB">
      <w:pPr>
        <w:tabs>
          <w:tab w:val="left" w:pos="1080"/>
        </w:tabs>
        <w:ind w:left="1080" w:hanging="720"/>
        <w:jc w:val="both"/>
        <w:rPr>
          <w:b/>
          <w:bCs/>
          <w:sz w:val="22"/>
          <w:szCs w:val="22"/>
        </w:rPr>
      </w:pPr>
      <w:r>
        <w:rPr>
          <w:b/>
          <w:bCs/>
          <w:sz w:val="22"/>
          <w:szCs w:val="22"/>
        </w:rPr>
        <w:tab/>
      </w:r>
      <w:bookmarkStart w:id="6" w:name="_MON_1396779710"/>
      <w:bookmarkStart w:id="7" w:name="_MON_1396709353"/>
      <w:bookmarkStart w:id="8" w:name="_MON_1396939771"/>
      <w:bookmarkStart w:id="9" w:name="_MON_1396709441"/>
      <w:bookmarkStart w:id="10" w:name="_MON_1396709312"/>
      <w:bookmarkStart w:id="11" w:name="_MON_1396772729"/>
      <w:bookmarkStart w:id="12" w:name="_MON_1396773492"/>
      <w:bookmarkStart w:id="13" w:name="_MON_1396773887"/>
      <w:bookmarkStart w:id="14" w:name="_MON_1396773964"/>
      <w:bookmarkEnd w:id="6"/>
      <w:bookmarkEnd w:id="7"/>
      <w:bookmarkEnd w:id="8"/>
      <w:bookmarkEnd w:id="9"/>
      <w:bookmarkEnd w:id="10"/>
      <w:bookmarkEnd w:id="11"/>
      <w:bookmarkEnd w:id="12"/>
      <w:bookmarkEnd w:id="13"/>
      <w:bookmarkEnd w:id="14"/>
      <w:bookmarkStart w:id="15" w:name="_MON_1396774054"/>
      <w:bookmarkEnd w:id="15"/>
      <w:r w:rsidR="00FC754C" w:rsidRPr="00A97611">
        <w:rPr>
          <w:b/>
          <w:bCs/>
          <w:sz w:val="22"/>
          <w:szCs w:val="22"/>
        </w:rPr>
        <w:object w:dxaOrig="7075" w:dyaOrig="5109">
          <v:shape id="_x0000_i1028" type="#_x0000_t75" style="width:362.25pt;height:255.75pt" o:ole="">
            <v:imagedata r:id="rId14" o:title=""/>
          </v:shape>
          <o:OLEObject Type="Embed" ProgID="Excel.Sheet.12" ShapeID="_x0000_i1028" DrawAspect="Content" ObjectID="_1406711586" r:id="rId15"/>
        </w:object>
      </w:r>
    </w:p>
    <w:p w:rsidR="006F0E41" w:rsidRDefault="006F0E41" w:rsidP="00264BBB">
      <w:pPr>
        <w:tabs>
          <w:tab w:val="left" w:pos="1080"/>
        </w:tabs>
        <w:ind w:left="1080" w:hanging="720"/>
        <w:jc w:val="both"/>
        <w:rPr>
          <w:b/>
          <w:bCs/>
          <w:sz w:val="22"/>
          <w:szCs w:val="22"/>
        </w:rPr>
      </w:pPr>
    </w:p>
    <w:p w:rsidR="006F0E41" w:rsidRDefault="006F0E41" w:rsidP="00264BBB">
      <w:pPr>
        <w:tabs>
          <w:tab w:val="left" w:pos="1080"/>
        </w:tabs>
        <w:ind w:left="1080" w:hanging="720"/>
        <w:jc w:val="both"/>
        <w:rPr>
          <w:b/>
          <w:bCs/>
          <w:sz w:val="22"/>
          <w:szCs w:val="22"/>
        </w:rPr>
      </w:pPr>
    </w:p>
    <w:p w:rsidR="003251C8" w:rsidRDefault="003251C8" w:rsidP="00264BBB">
      <w:pPr>
        <w:tabs>
          <w:tab w:val="left" w:pos="1080"/>
        </w:tabs>
        <w:ind w:left="1080" w:hanging="720"/>
        <w:jc w:val="both"/>
        <w:rPr>
          <w:b/>
          <w:bCs/>
          <w:sz w:val="22"/>
          <w:szCs w:val="22"/>
        </w:rPr>
      </w:pPr>
    </w:p>
    <w:p w:rsidR="003251C8" w:rsidRDefault="003251C8" w:rsidP="00264BBB">
      <w:pPr>
        <w:tabs>
          <w:tab w:val="left" w:pos="1080"/>
        </w:tabs>
        <w:ind w:left="1080" w:hanging="720"/>
        <w:jc w:val="both"/>
        <w:rPr>
          <w:b/>
          <w:bCs/>
          <w:sz w:val="22"/>
          <w:szCs w:val="22"/>
        </w:rPr>
      </w:pPr>
    </w:p>
    <w:p w:rsidR="00643BD5" w:rsidRPr="006E611C" w:rsidRDefault="001F64CA" w:rsidP="00264BBB">
      <w:pPr>
        <w:tabs>
          <w:tab w:val="left" w:pos="1080"/>
        </w:tabs>
        <w:ind w:left="1080" w:hanging="720"/>
        <w:jc w:val="both"/>
        <w:rPr>
          <w:b/>
          <w:bCs/>
          <w:sz w:val="22"/>
          <w:szCs w:val="22"/>
        </w:rPr>
      </w:pPr>
      <w:r w:rsidRPr="006E611C">
        <w:rPr>
          <w:b/>
          <w:bCs/>
          <w:sz w:val="22"/>
          <w:szCs w:val="22"/>
        </w:rPr>
        <w:lastRenderedPageBreak/>
        <w:t>B1</w:t>
      </w:r>
      <w:r w:rsidR="006F0E41">
        <w:rPr>
          <w:b/>
          <w:bCs/>
          <w:sz w:val="22"/>
          <w:szCs w:val="22"/>
        </w:rPr>
        <w:t>3</w:t>
      </w:r>
      <w:r w:rsidR="00643BD5" w:rsidRPr="006E611C">
        <w:rPr>
          <w:b/>
          <w:bCs/>
          <w:sz w:val="22"/>
          <w:szCs w:val="22"/>
        </w:rPr>
        <w:t>.</w:t>
      </w:r>
      <w:r w:rsidR="00643BD5" w:rsidRPr="006E611C">
        <w:rPr>
          <w:b/>
          <w:bCs/>
          <w:sz w:val="22"/>
          <w:szCs w:val="22"/>
        </w:rPr>
        <w:tab/>
        <w:t xml:space="preserve">Disclosure of </w:t>
      </w:r>
      <w:proofErr w:type="spellStart"/>
      <w:r w:rsidR="00643BD5" w:rsidRPr="006E611C">
        <w:rPr>
          <w:b/>
          <w:bCs/>
          <w:sz w:val="22"/>
          <w:szCs w:val="22"/>
        </w:rPr>
        <w:t>realised</w:t>
      </w:r>
      <w:proofErr w:type="spellEnd"/>
      <w:r w:rsidR="00643BD5" w:rsidRPr="006E611C">
        <w:rPr>
          <w:b/>
          <w:bCs/>
          <w:sz w:val="22"/>
          <w:szCs w:val="22"/>
        </w:rPr>
        <w:t xml:space="preserve"> and </w:t>
      </w:r>
      <w:proofErr w:type="spellStart"/>
      <w:r w:rsidR="00643BD5" w:rsidRPr="006E611C">
        <w:rPr>
          <w:b/>
          <w:bCs/>
          <w:sz w:val="22"/>
          <w:szCs w:val="22"/>
        </w:rPr>
        <w:t>unrealised</w:t>
      </w:r>
      <w:proofErr w:type="spellEnd"/>
      <w:r w:rsidR="00643BD5" w:rsidRPr="006E611C">
        <w:rPr>
          <w:b/>
          <w:bCs/>
          <w:sz w:val="22"/>
          <w:szCs w:val="22"/>
        </w:rPr>
        <w:t xml:space="preserve"> profits</w:t>
      </w:r>
    </w:p>
    <w:p w:rsidR="005A159A" w:rsidRPr="006E611C" w:rsidRDefault="00643BD5" w:rsidP="008A18FC">
      <w:pPr>
        <w:tabs>
          <w:tab w:val="left" w:pos="1080"/>
        </w:tabs>
        <w:ind w:left="1080" w:hanging="720"/>
        <w:jc w:val="both"/>
        <w:rPr>
          <w:b/>
          <w:bCs/>
          <w:sz w:val="22"/>
          <w:szCs w:val="22"/>
        </w:rPr>
      </w:pPr>
      <w:r w:rsidRPr="006E611C">
        <w:rPr>
          <w:b/>
          <w:bCs/>
          <w:sz w:val="22"/>
          <w:szCs w:val="22"/>
        </w:rPr>
        <w:tab/>
      </w:r>
      <w:bookmarkStart w:id="16" w:name="_MON_1396781848"/>
      <w:bookmarkStart w:id="17" w:name="_MON_1396445306"/>
      <w:bookmarkEnd w:id="16"/>
      <w:bookmarkEnd w:id="17"/>
      <w:bookmarkStart w:id="18" w:name="_MON_1396445379"/>
      <w:bookmarkEnd w:id="18"/>
      <w:r w:rsidR="00FC754C" w:rsidRPr="006E611C">
        <w:rPr>
          <w:b/>
          <w:bCs/>
          <w:sz w:val="22"/>
          <w:szCs w:val="22"/>
        </w:rPr>
        <w:object w:dxaOrig="8256" w:dyaOrig="4406">
          <v:shape id="_x0000_i1029" type="#_x0000_t75" style="width:405pt;height:215.25pt" o:ole="" fillcolor="window">
            <v:imagedata r:id="rId16" o:title=""/>
          </v:shape>
          <o:OLEObject Type="Embed" ProgID="Excel.Sheet.8" ShapeID="_x0000_i1029" DrawAspect="Content" ObjectID="_1406711587" r:id="rId17"/>
        </w:object>
      </w:r>
    </w:p>
    <w:p w:rsidR="00643BD5" w:rsidRPr="006E611C" w:rsidRDefault="00643BD5" w:rsidP="008A18FC">
      <w:pPr>
        <w:tabs>
          <w:tab w:val="left" w:pos="1080"/>
        </w:tabs>
        <w:ind w:left="1080" w:hanging="720"/>
        <w:jc w:val="both"/>
        <w:rPr>
          <w:sz w:val="22"/>
          <w:szCs w:val="22"/>
        </w:rPr>
      </w:pPr>
      <w:r w:rsidRPr="006E611C">
        <w:rPr>
          <w:sz w:val="22"/>
          <w:szCs w:val="22"/>
        </w:rPr>
        <w:t>By order of the Board</w:t>
      </w:r>
    </w:p>
    <w:p w:rsidR="00643BD5" w:rsidRPr="006E611C" w:rsidRDefault="00643BD5" w:rsidP="008A18FC">
      <w:pPr>
        <w:tabs>
          <w:tab w:val="left" w:pos="1080"/>
        </w:tabs>
        <w:ind w:left="1080" w:hanging="720"/>
        <w:jc w:val="both"/>
        <w:rPr>
          <w:sz w:val="22"/>
          <w:szCs w:val="22"/>
        </w:rPr>
      </w:pPr>
      <w:r w:rsidRPr="006E611C">
        <w:rPr>
          <w:sz w:val="22"/>
          <w:szCs w:val="22"/>
        </w:rPr>
        <w:t xml:space="preserve">Mr. Liang </w:t>
      </w:r>
      <w:proofErr w:type="spellStart"/>
      <w:r w:rsidRPr="006E611C">
        <w:rPr>
          <w:sz w:val="22"/>
          <w:szCs w:val="22"/>
        </w:rPr>
        <w:t>Hsiu</w:t>
      </w:r>
      <w:proofErr w:type="spellEnd"/>
      <w:r w:rsidRPr="006E611C">
        <w:rPr>
          <w:sz w:val="22"/>
          <w:szCs w:val="22"/>
        </w:rPr>
        <w:t>-Chang</w:t>
      </w:r>
    </w:p>
    <w:p w:rsidR="00643BD5" w:rsidRPr="006E611C" w:rsidRDefault="00643BD5" w:rsidP="008A18FC">
      <w:pPr>
        <w:tabs>
          <w:tab w:val="left" w:pos="1080"/>
        </w:tabs>
        <w:ind w:left="1080" w:hanging="720"/>
        <w:jc w:val="both"/>
        <w:rPr>
          <w:sz w:val="22"/>
          <w:szCs w:val="22"/>
        </w:rPr>
      </w:pPr>
      <w:r w:rsidRPr="006E611C">
        <w:rPr>
          <w:sz w:val="22"/>
          <w:szCs w:val="22"/>
        </w:rPr>
        <w:t>Group Managing Director</w:t>
      </w:r>
    </w:p>
    <w:p w:rsidR="00643BD5" w:rsidRPr="006E611C" w:rsidRDefault="005E4A14" w:rsidP="000E2122">
      <w:pPr>
        <w:tabs>
          <w:tab w:val="left" w:pos="1080"/>
        </w:tabs>
        <w:ind w:left="1080" w:hanging="720"/>
        <w:jc w:val="both"/>
        <w:rPr>
          <w:sz w:val="22"/>
          <w:szCs w:val="22"/>
        </w:rPr>
      </w:pPr>
      <w:r>
        <w:rPr>
          <w:sz w:val="22"/>
          <w:szCs w:val="22"/>
        </w:rPr>
        <w:t>1</w:t>
      </w:r>
      <w:r w:rsidR="00FC754C">
        <w:rPr>
          <w:sz w:val="22"/>
          <w:szCs w:val="22"/>
        </w:rPr>
        <w:t>7</w:t>
      </w:r>
      <w:r w:rsidRPr="005E4A14">
        <w:rPr>
          <w:sz w:val="22"/>
          <w:szCs w:val="22"/>
          <w:vertAlign w:val="superscript"/>
        </w:rPr>
        <w:t>th</w:t>
      </w:r>
      <w:r>
        <w:rPr>
          <w:sz w:val="22"/>
          <w:szCs w:val="22"/>
        </w:rPr>
        <w:t xml:space="preserve"> </w:t>
      </w:r>
      <w:r w:rsidR="00FC754C">
        <w:rPr>
          <w:sz w:val="22"/>
          <w:szCs w:val="22"/>
        </w:rPr>
        <w:t>August</w:t>
      </w:r>
      <w:r w:rsidR="00F0508E" w:rsidRPr="006E611C">
        <w:rPr>
          <w:sz w:val="22"/>
          <w:szCs w:val="22"/>
        </w:rPr>
        <w:t xml:space="preserve"> </w:t>
      </w:r>
      <w:r w:rsidR="005249A5" w:rsidRPr="006E611C">
        <w:rPr>
          <w:sz w:val="22"/>
          <w:szCs w:val="22"/>
        </w:rPr>
        <w:t>2012</w:t>
      </w:r>
    </w:p>
    <w:sectPr w:rsidR="00643BD5" w:rsidRPr="006E611C" w:rsidSect="00C87881">
      <w:headerReference w:type="default" r:id="rId18"/>
      <w:footerReference w:type="even" r:id="rId19"/>
      <w:footerReference w:type="default" r:id="rId20"/>
      <w:pgSz w:w="11909" w:h="16834" w:code="9"/>
      <w:pgMar w:top="1800" w:right="1080" w:bottom="900" w:left="720" w:header="720" w:footer="66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D6" w:rsidRDefault="00323AD6">
      <w:r>
        <w:separator/>
      </w:r>
    </w:p>
  </w:endnote>
  <w:endnote w:type="continuationSeparator" w:id="0">
    <w:p w:rsidR="00323AD6" w:rsidRDefault="0032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5" w:rsidRDefault="00461582" w:rsidP="00723820">
    <w:pPr>
      <w:pStyle w:val="Footer"/>
      <w:framePr w:wrap="around" w:vAnchor="text" w:hAnchor="margin" w:xAlign="right" w:y="1"/>
      <w:rPr>
        <w:rStyle w:val="PageNumber"/>
      </w:rPr>
    </w:pPr>
    <w:r>
      <w:rPr>
        <w:rStyle w:val="PageNumber"/>
      </w:rPr>
      <w:fldChar w:fldCharType="begin"/>
    </w:r>
    <w:r w:rsidR="00643BD5">
      <w:rPr>
        <w:rStyle w:val="PageNumber"/>
      </w:rPr>
      <w:instrText xml:space="preserve">PAGE  </w:instrText>
    </w:r>
    <w:r>
      <w:rPr>
        <w:rStyle w:val="PageNumber"/>
      </w:rPr>
      <w:fldChar w:fldCharType="end"/>
    </w:r>
  </w:p>
  <w:p w:rsidR="00643BD5" w:rsidRDefault="00643BD5" w:rsidP="004D6E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5" w:rsidRDefault="00461582" w:rsidP="00D71A74">
    <w:pPr>
      <w:pStyle w:val="Footer"/>
      <w:framePr w:wrap="around" w:vAnchor="text" w:hAnchor="margin" w:xAlign="right" w:y="1"/>
      <w:rPr>
        <w:rStyle w:val="PageNumber"/>
      </w:rPr>
    </w:pPr>
    <w:r>
      <w:rPr>
        <w:rStyle w:val="PageNumber"/>
      </w:rPr>
      <w:fldChar w:fldCharType="begin"/>
    </w:r>
    <w:r w:rsidR="00643BD5">
      <w:rPr>
        <w:rStyle w:val="PageNumber"/>
      </w:rPr>
      <w:instrText xml:space="preserve">PAGE  </w:instrText>
    </w:r>
    <w:r>
      <w:rPr>
        <w:rStyle w:val="PageNumber"/>
      </w:rPr>
      <w:fldChar w:fldCharType="separate"/>
    </w:r>
    <w:r w:rsidR="009D326E">
      <w:rPr>
        <w:rStyle w:val="PageNumber"/>
      </w:rPr>
      <w:t>4</w:t>
    </w:r>
    <w:r>
      <w:rPr>
        <w:rStyle w:val="PageNumber"/>
      </w:rPr>
      <w:fldChar w:fldCharType="end"/>
    </w:r>
  </w:p>
  <w:p w:rsidR="00643BD5" w:rsidRDefault="00643BD5">
    <w:pPr>
      <w:pStyle w:val="Footer"/>
      <w:ind w:right="360"/>
      <w:jc w:val="center"/>
      <w:rPr>
        <w:sz w:val="22"/>
        <w:szCs w:val="22"/>
      </w:rPr>
    </w:pPr>
  </w:p>
  <w:p w:rsidR="00643BD5" w:rsidRDefault="00643BD5">
    <w:pPr>
      <w:pStyle w:val="Footer"/>
      <w:ind w:right="360"/>
      <w:jc w:val="center"/>
      <w:rPr>
        <w:sz w:val="22"/>
        <w:szCs w:val="22"/>
      </w:rPr>
    </w:pPr>
  </w:p>
  <w:p w:rsidR="00643BD5" w:rsidRDefault="00643B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D6" w:rsidRDefault="00323AD6">
      <w:r>
        <w:separator/>
      </w:r>
    </w:p>
  </w:footnote>
  <w:footnote w:type="continuationSeparator" w:id="0">
    <w:p w:rsidR="00323AD6" w:rsidRDefault="00323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5" w:rsidRDefault="00643BD5">
    <w:pPr>
      <w:pStyle w:val="BodyText"/>
      <w:jc w:val="both"/>
      <w:rPr>
        <w:rFonts w:ascii="Arial" w:hAnsi="Arial" w:cs="Arial"/>
        <w:b/>
        <w:bCs/>
        <w:i w:val="0"/>
        <w:iCs w:val="0"/>
        <w:sz w:val="22"/>
        <w:szCs w:val="22"/>
      </w:rPr>
    </w:pPr>
    <w:r>
      <w:rPr>
        <w:rFonts w:ascii="Arial" w:hAnsi="Arial" w:cs="Arial"/>
        <w:b/>
        <w:bCs/>
        <w:i w:val="0"/>
        <w:iCs w:val="0"/>
        <w:sz w:val="22"/>
        <w:szCs w:val="22"/>
      </w:rPr>
      <w:t>CSC STEEL HOLDINGS BERHAD</w:t>
    </w:r>
  </w:p>
  <w:p w:rsidR="00643BD5" w:rsidRPr="005B45A4" w:rsidRDefault="00643BD5">
    <w:pPr>
      <w:pStyle w:val="Header"/>
      <w:rPr>
        <w:rFonts w:ascii="Arial" w:hAnsi="Arial" w:cs="Arial"/>
        <w:b/>
        <w:bCs/>
        <w:i/>
        <w:iCs/>
        <w:sz w:val="18"/>
        <w:szCs w:val="18"/>
      </w:rPr>
    </w:pPr>
    <w:r w:rsidRPr="005B45A4">
      <w:rPr>
        <w:rFonts w:ascii="Arial" w:hAnsi="Arial" w:cs="Arial"/>
        <w:b/>
        <w:bCs/>
        <w:i/>
        <w:iCs/>
        <w:sz w:val="18"/>
        <w:szCs w:val="18"/>
      </w:rPr>
      <w:t xml:space="preserve"> (Company No: 640357-X)</w:t>
    </w:r>
  </w:p>
  <w:p w:rsidR="00643BD5" w:rsidRDefault="00643BD5">
    <w:pPr>
      <w:pStyle w:val="Header"/>
      <w:rPr>
        <w:rFonts w:ascii="Arial" w:hAnsi="Arial" w:cs="Arial"/>
        <w:b/>
        <w:bCs/>
        <w:i/>
        <w:iCs/>
        <w:sz w:val="22"/>
        <w:szCs w:val="22"/>
      </w:rPr>
    </w:pPr>
  </w:p>
  <w:p w:rsidR="00643BD5" w:rsidRDefault="00643BD5">
    <w:pPr>
      <w:pStyle w:val="Header"/>
      <w:tabs>
        <w:tab w:val="clear" w:pos="8640"/>
        <w:tab w:val="right" w:pos="10109"/>
      </w:tabs>
      <w:rPr>
        <w:rFonts w:ascii="Arial" w:hAnsi="Arial" w:cs="Arial"/>
        <w:b/>
        <w:bCs/>
        <w:sz w:val="22"/>
        <w:szCs w:val="22"/>
      </w:rPr>
    </w:pPr>
    <w:r>
      <w:rPr>
        <w:rFonts w:ascii="Arial" w:hAnsi="Arial" w:cs="Arial"/>
        <w:b/>
        <w:bCs/>
        <w:sz w:val="22"/>
        <w:szCs w:val="22"/>
      </w:rPr>
      <w:t>Notes on the Quarterly Report –</w:t>
    </w:r>
    <w:r w:rsidRPr="00DB5B49">
      <w:rPr>
        <w:rFonts w:ascii="Arial" w:hAnsi="Arial" w:cs="Arial"/>
        <w:b/>
        <w:bCs/>
        <w:sz w:val="22"/>
        <w:szCs w:val="22"/>
      </w:rPr>
      <w:t xml:space="preserve"> </w:t>
    </w:r>
    <w:r w:rsidR="002653F3">
      <w:rPr>
        <w:rFonts w:ascii="Arial" w:hAnsi="Arial" w:cs="Arial"/>
        <w:b/>
        <w:bCs/>
        <w:sz w:val="22"/>
        <w:szCs w:val="22"/>
      </w:rPr>
      <w:t>Six</w:t>
    </w:r>
    <w:r>
      <w:rPr>
        <w:rFonts w:ascii="Arial" w:hAnsi="Arial" w:cs="Arial"/>
        <w:b/>
        <w:bCs/>
        <w:sz w:val="22"/>
        <w:szCs w:val="22"/>
      </w:rPr>
      <w:t xml:space="preserve"> Months Ended </w:t>
    </w:r>
    <w:r w:rsidR="007E2EB6">
      <w:rPr>
        <w:rFonts w:ascii="Arial" w:hAnsi="Arial" w:cs="Arial"/>
        <w:b/>
        <w:bCs/>
        <w:sz w:val="22"/>
        <w:szCs w:val="22"/>
      </w:rPr>
      <w:t>3</w:t>
    </w:r>
    <w:r w:rsidR="002653F3">
      <w:rPr>
        <w:rFonts w:ascii="Arial" w:hAnsi="Arial" w:cs="Arial"/>
        <w:b/>
        <w:bCs/>
        <w:sz w:val="22"/>
        <w:szCs w:val="22"/>
      </w:rPr>
      <w:t>0 June</w:t>
    </w:r>
    <w:r w:rsidR="007562DB">
      <w:rPr>
        <w:rFonts w:ascii="Arial" w:hAnsi="Arial" w:cs="Arial"/>
        <w:b/>
        <w:bCs/>
        <w:sz w:val="22"/>
        <w:szCs w:val="22"/>
      </w:rPr>
      <w:t xml:space="preserve"> 2012</w:t>
    </w:r>
  </w:p>
  <w:p w:rsidR="00643BD5" w:rsidRDefault="00643BD5">
    <w:pPr>
      <w:pStyle w:val="Header"/>
      <w:tabs>
        <w:tab w:val="clear" w:pos="8640"/>
        <w:tab w:val="right" w:pos="10109"/>
      </w:tabs>
    </w:pPr>
  </w:p>
  <w:p w:rsidR="00643BD5" w:rsidRDefault="00643BD5">
    <w:pPr>
      <w:pStyle w:val="Header"/>
      <w:tabs>
        <w:tab w:val="clear" w:pos="8640"/>
        <w:tab w:val="right" w:pos="1010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BAC"/>
    <w:multiLevelType w:val="hybridMultilevel"/>
    <w:tmpl w:val="4E243FA0"/>
    <w:lvl w:ilvl="0" w:tplc="476EC536">
      <w:start w:val="1"/>
      <w:numFmt w:val="decimal"/>
      <w:lvlText w:val="%1)"/>
      <w:lvlJc w:val="left"/>
      <w:pPr>
        <w:tabs>
          <w:tab w:val="num" w:pos="-719"/>
        </w:tabs>
        <w:ind w:left="-719" w:hanging="360"/>
      </w:pPr>
      <w:rPr>
        <w:rFonts w:hint="default"/>
      </w:rPr>
    </w:lvl>
    <w:lvl w:ilvl="1" w:tplc="2FB0D942">
      <w:start w:val="1"/>
      <w:numFmt w:val="lowerLetter"/>
      <w:lvlText w:val="%2)"/>
      <w:lvlJc w:val="left"/>
      <w:pPr>
        <w:tabs>
          <w:tab w:val="num" w:pos="-239"/>
        </w:tabs>
        <w:ind w:left="-239" w:hanging="360"/>
      </w:pPr>
      <w:rPr>
        <w:rFonts w:hint="default"/>
      </w:rPr>
    </w:lvl>
    <w:lvl w:ilvl="2" w:tplc="0409001B" w:tentative="1">
      <w:start w:val="1"/>
      <w:numFmt w:val="lowerRoman"/>
      <w:lvlText w:val="%3."/>
      <w:lvlJc w:val="right"/>
      <w:pPr>
        <w:tabs>
          <w:tab w:val="num" w:pos="361"/>
        </w:tabs>
        <w:ind w:left="361" w:hanging="480"/>
      </w:pPr>
    </w:lvl>
    <w:lvl w:ilvl="3" w:tplc="0409000F" w:tentative="1">
      <w:start w:val="1"/>
      <w:numFmt w:val="decimal"/>
      <w:lvlText w:val="%4."/>
      <w:lvlJc w:val="left"/>
      <w:pPr>
        <w:tabs>
          <w:tab w:val="num" w:pos="841"/>
        </w:tabs>
        <w:ind w:left="841" w:hanging="480"/>
      </w:pPr>
    </w:lvl>
    <w:lvl w:ilvl="4" w:tplc="04090019" w:tentative="1">
      <w:start w:val="1"/>
      <w:numFmt w:val="ideographTraditional"/>
      <w:lvlText w:val="%5、"/>
      <w:lvlJc w:val="left"/>
      <w:pPr>
        <w:tabs>
          <w:tab w:val="num" w:pos="1321"/>
        </w:tabs>
        <w:ind w:left="1321" w:hanging="480"/>
      </w:pPr>
    </w:lvl>
    <w:lvl w:ilvl="5" w:tplc="0409001B" w:tentative="1">
      <w:start w:val="1"/>
      <w:numFmt w:val="lowerRoman"/>
      <w:lvlText w:val="%6."/>
      <w:lvlJc w:val="right"/>
      <w:pPr>
        <w:tabs>
          <w:tab w:val="num" w:pos="1801"/>
        </w:tabs>
        <w:ind w:left="1801" w:hanging="480"/>
      </w:pPr>
    </w:lvl>
    <w:lvl w:ilvl="6" w:tplc="0409000F" w:tentative="1">
      <w:start w:val="1"/>
      <w:numFmt w:val="decimal"/>
      <w:lvlText w:val="%7."/>
      <w:lvlJc w:val="left"/>
      <w:pPr>
        <w:tabs>
          <w:tab w:val="num" w:pos="2281"/>
        </w:tabs>
        <w:ind w:left="2281" w:hanging="480"/>
      </w:pPr>
    </w:lvl>
    <w:lvl w:ilvl="7" w:tplc="04090019" w:tentative="1">
      <w:start w:val="1"/>
      <w:numFmt w:val="ideographTraditional"/>
      <w:lvlText w:val="%8、"/>
      <w:lvlJc w:val="left"/>
      <w:pPr>
        <w:tabs>
          <w:tab w:val="num" w:pos="2761"/>
        </w:tabs>
        <w:ind w:left="2761" w:hanging="480"/>
      </w:pPr>
    </w:lvl>
    <w:lvl w:ilvl="8" w:tplc="0409001B" w:tentative="1">
      <w:start w:val="1"/>
      <w:numFmt w:val="lowerRoman"/>
      <w:lvlText w:val="%9."/>
      <w:lvlJc w:val="right"/>
      <w:pPr>
        <w:tabs>
          <w:tab w:val="num" w:pos="3241"/>
        </w:tabs>
        <w:ind w:left="3241" w:hanging="480"/>
      </w:pPr>
    </w:lvl>
  </w:abstractNum>
  <w:abstractNum w:abstractNumId="1">
    <w:nsid w:val="27D55D4E"/>
    <w:multiLevelType w:val="hybridMultilevel"/>
    <w:tmpl w:val="C9AA03F8"/>
    <w:lvl w:ilvl="0" w:tplc="186E7452">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2AB762F2"/>
    <w:multiLevelType w:val="hybridMultilevel"/>
    <w:tmpl w:val="DEEEFD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A932A3"/>
    <w:multiLevelType w:val="hybridMultilevel"/>
    <w:tmpl w:val="CB5289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5205787"/>
    <w:multiLevelType w:val="singleLevel"/>
    <w:tmpl w:val="494A1CDA"/>
    <w:lvl w:ilvl="0">
      <w:start w:val="1"/>
      <w:numFmt w:val="lowerLetter"/>
      <w:lvlText w:val="(%1)"/>
      <w:lvlJc w:val="left"/>
      <w:pPr>
        <w:tabs>
          <w:tab w:val="num" w:pos="1440"/>
        </w:tabs>
        <w:ind w:left="1440" w:hanging="360"/>
      </w:pPr>
      <w:rPr>
        <w:rFonts w:cs="Times New Roman" w:hint="default"/>
      </w:rPr>
    </w:lvl>
  </w:abstractNum>
  <w:abstractNum w:abstractNumId="5">
    <w:nsid w:val="36F920D8"/>
    <w:multiLevelType w:val="hybridMultilevel"/>
    <w:tmpl w:val="86B0918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3C2F22CC"/>
    <w:multiLevelType w:val="multilevel"/>
    <w:tmpl w:val="66786DBE"/>
    <w:lvl w:ilvl="0">
      <w:start w:val="1"/>
      <w:numFmt w:val="none"/>
      <w:lvlText w:val="A7."/>
      <w:lvlJc w:val="left"/>
      <w:pPr>
        <w:tabs>
          <w:tab w:val="num" w:pos="1080"/>
        </w:tabs>
        <w:ind w:left="1080" w:hanging="720"/>
      </w:pPr>
      <w:rPr>
        <w:rFonts w:cs="Times New Roman" w:hint="default"/>
      </w:rPr>
    </w:lvl>
    <w:lvl w:ilvl="1">
      <w:start w:val="2"/>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4FA6824"/>
    <w:multiLevelType w:val="hybridMultilevel"/>
    <w:tmpl w:val="DDA6EC8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
    <w:nsid w:val="5F2F65F9"/>
    <w:multiLevelType w:val="hybridMultilevel"/>
    <w:tmpl w:val="A378D68E"/>
    <w:lvl w:ilvl="0" w:tplc="112C0654">
      <w:start w:val="1"/>
      <w:numFmt w:val="decimal"/>
      <w:lvlText w:val="%1)"/>
      <w:lvlJc w:val="left"/>
      <w:pPr>
        <w:tabs>
          <w:tab w:val="num" w:pos="-719"/>
        </w:tabs>
        <w:ind w:left="-719" w:hanging="360"/>
      </w:pPr>
      <w:rPr>
        <w:rFonts w:hint="default"/>
      </w:rPr>
    </w:lvl>
    <w:lvl w:ilvl="1" w:tplc="9266DCDA">
      <w:start w:val="1"/>
      <w:numFmt w:val="lowerLetter"/>
      <w:lvlText w:val="%2)"/>
      <w:lvlJc w:val="left"/>
      <w:pPr>
        <w:tabs>
          <w:tab w:val="num" w:pos="-239"/>
        </w:tabs>
        <w:ind w:left="-239" w:hanging="360"/>
      </w:pPr>
      <w:rPr>
        <w:rFonts w:hint="default"/>
      </w:rPr>
    </w:lvl>
    <w:lvl w:ilvl="2" w:tplc="0409001B" w:tentative="1">
      <w:start w:val="1"/>
      <w:numFmt w:val="lowerRoman"/>
      <w:lvlText w:val="%3."/>
      <w:lvlJc w:val="right"/>
      <w:pPr>
        <w:tabs>
          <w:tab w:val="num" w:pos="361"/>
        </w:tabs>
        <w:ind w:left="361" w:hanging="480"/>
      </w:pPr>
    </w:lvl>
    <w:lvl w:ilvl="3" w:tplc="0409000F" w:tentative="1">
      <w:start w:val="1"/>
      <w:numFmt w:val="decimal"/>
      <w:lvlText w:val="%4."/>
      <w:lvlJc w:val="left"/>
      <w:pPr>
        <w:tabs>
          <w:tab w:val="num" w:pos="841"/>
        </w:tabs>
        <w:ind w:left="841" w:hanging="480"/>
      </w:pPr>
    </w:lvl>
    <w:lvl w:ilvl="4" w:tplc="04090019" w:tentative="1">
      <w:start w:val="1"/>
      <w:numFmt w:val="ideographTraditional"/>
      <w:lvlText w:val="%5、"/>
      <w:lvlJc w:val="left"/>
      <w:pPr>
        <w:tabs>
          <w:tab w:val="num" w:pos="1321"/>
        </w:tabs>
        <w:ind w:left="1321" w:hanging="480"/>
      </w:pPr>
    </w:lvl>
    <w:lvl w:ilvl="5" w:tplc="0409001B" w:tentative="1">
      <w:start w:val="1"/>
      <w:numFmt w:val="lowerRoman"/>
      <w:lvlText w:val="%6."/>
      <w:lvlJc w:val="right"/>
      <w:pPr>
        <w:tabs>
          <w:tab w:val="num" w:pos="1801"/>
        </w:tabs>
        <w:ind w:left="1801" w:hanging="480"/>
      </w:pPr>
    </w:lvl>
    <w:lvl w:ilvl="6" w:tplc="0409000F" w:tentative="1">
      <w:start w:val="1"/>
      <w:numFmt w:val="decimal"/>
      <w:lvlText w:val="%7."/>
      <w:lvlJc w:val="left"/>
      <w:pPr>
        <w:tabs>
          <w:tab w:val="num" w:pos="2281"/>
        </w:tabs>
        <w:ind w:left="2281" w:hanging="480"/>
      </w:pPr>
    </w:lvl>
    <w:lvl w:ilvl="7" w:tplc="04090019" w:tentative="1">
      <w:start w:val="1"/>
      <w:numFmt w:val="ideographTraditional"/>
      <w:lvlText w:val="%8、"/>
      <w:lvlJc w:val="left"/>
      <w:pPr>
        <w:tabs>
          <w:tab w:val="num" w:pos="2761"/>
        </w:tabs>
        <w:ind w:left="2761" w:hanging="480"/>
      </w:pPr>
    </w:lvl>
    <w:lvl w:ilvl="8" w:tplc="0409001B" w:tentative="1">
      <w:start w:val="1"/>
      <w:numFmt w:val="lowerRoman"/>
      <w:lvlText w:val="%9."/>
      <w:lvlJc w:val="right"/>
      <w:pPr>
        <w:tabs>
          <w:tab w:val="num" w:pos="3241"/>
        </w:tabs>
        <w:ind w:left="3241" w:hanging="480"/>
      </w:pPr>
    </w:lvl>
  </w:abstractNum>
  <w:abstractNum w:abstractNumId="9">
    <w:nsid w:val="615A036B"/>
    <w:multiLevelType w:val="multilevel"/>
    <w:tmpl w:val="02FE07D2"/>
    <w:lvl w:ilvl="0">
      <w:start w:val="1"/>
      <w:numFmt w:val="decimal"/>
      <w:lvlText w:val="A%1."/>
      <w:lvlJc w:val="left"/>
      <w:pPr>
        <w:tabs>
          <w:tab w:val="num" w:pos="1080"/>
        </w:tabs>
        <w:ind w:left="1080" w:hanging="720"/>
      </w:pPr>
      <w:rPr>
        <w:rFonts w:cs="Times New Roman" w:hint="default"/>
      </w:rPr>
    </w:lvl>
    <w:lvl w:ilvl="1">
      <w:start w:val="2"/>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BAF5DC1"/>
    <w:multiLevelType w:val="hybridMultilevel"/>
    <w:tmpl w:val="167E3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A420C42"/>
    <w:multiLevelType w:val="hybridMultilevel"/>
    <w:tmpl w:val="C37269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7"/>
  </w:num>
  <w:num w:numId="6">
    <w:abstractNumId w:val="5"/>
  </w:num>
  <w:num w:numId="7">
    <w:abstractNumId w:val="3"/>
  </w:num>
  <w:num w:numId="8">
    <w:abstractNumId w:val="10"/>
  </w:num>
  <w:num w:numId="9">
    <w:abstractNumId w:val="2"/>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0B"/>
    <w:rsid w:val="000002B0"/>
    <w:rsid w:val="00002C6B"/>
    <w:rsid w:val="000040C1"/>
    <w:rsid w:val="000044AE"/>
    <w:rsid w:val="000072AE"/>
    <w:rsid w:val="00010192"/>
    <w:rsid w:val="00012DC0"/>
    <w:rsid w:val="0001323F"/>
    <w:rsid w:val="000149C2"/>
    <w:rsid w:val="0001512F"/>
    <w:rsid w:val="00016104"/>
    <w:rsid w:val="00017EDF"/>
    <w:rsid w:val="00020274"/>
    <w:rsid w:val="000202BF"/>
    <w:rsid w:val="00020C75"/>
    <w:rsid w:val="00021792"/>
    <w:rsid w:val="00022578"/>
    <w:rsid w:val="00025A61"/>
    <w:rsid w:val="00025E79"/>
    <w:rsid w:val="00026D28"/>
    <w:rsid w:val="000304EF"/>
    <w:rsid w:val="00030E81"/>
    <w:rsid w:val="00031D0C"/>
    <w:rsid w:val="00032743"/>
    <w:rsid w:val="000352B8"/>
    <w:rsid w:val="00035FF2"/>
    <w:rsid w:val="00037179"/>
    <w:rsid w:val="0003719F"/>
    <w:rsid w:val="000373B8"/>
    <w:rsid w:val="0003782B"/>
    <w:rsid w:val="00040BB5"/>
    <w:rsid w:val="000414C2"/>
    <w:rsid w:val="00042ACE"/>
    <w:rsid w:val="0004540F"/>
    <w:rsid w:val="000456C4"/>
    <w:rsid w:val="00045A95"/>
    <w:rsid w:val="0005097C"/>
    <w:rsid w:val="00050A5C"/>
    <w:rsid w:val="00051249"/>
    <w:rsid w:val="00055859"/>
    <w:rsid w:val="00055921"/>
    <w:rsid w:val="0005759F"/>
    <w:rsid w:val="00060847"/>
    <w:rsid w:val="00060F3A"/>
    <w:rsid w:val="00061277"/>
    <w:rsid w:val="00066B58"/>
    <w:rsid w:val="00066ED3"/>
    <w:rsid w:val="00067E58"/>
    <w:rsid w:val="0007104E"/>
    <w:rsid w:val="00071179"/>
    <w:rsid w:val="00071310"/>
    <w:rsid w:val="00075C29"/>
    <w:rsid w:val="00076BD2"/>
    <w:rsid w:val="0008024C"/>
    <w:rsid w:val="00080C1C"/>
    <w:rsid w:val="000844C8"/>
    <w:rsid w:val="00084926"/>
    <w:rsid w:val="00086FD0"/>
    <w:rsid w:val="00090115"/>
    <w:rsid w:val="0009033B"/>
    <w:rsid w:val="00090C55"/>
    <w:rsid w:val="000911A0"/>
    <w:rsid w:val="0009181B"/>
    <w:rsid w:val="0009634B"/>
    <w:rsid w:val="000964D1"/>
    <w:rsid w:val="000A34EA"/>
    <w:rsid w:val="000A481A"/>
    <w:rsid w:val="000A598A"/>
    <w:rsid w:val="000A5E87"/>
    <w:rsid w:val="000A6A8F"/>
    <w:rsid w:val="000B0E1E"/>
    <w:rsid w:val="000B2886"/>
    <w:rsid w:val="000B3D1A"/>
    <w:rsid w:val="000B48F9"/>
    <w:rsid w:val="000B59C0"/>
    <w:rsid w:val="000B5D0D"/>
    <w:rsid w:val="000B63EB"/>
    <w:rsid w:val="000B7C80"/>
    <w:rsid w:val="000C06D6"/>
    <w:rsid w:val="000C4994"/>
    <w:rsid w:val="000C4A21"/>
    <w:rsid w:val="000C6008"/>
    <w:rsid w:val="000D0977"/>
    <w:rsid w:val="000D7145"/>
    <w:rsid w:val="000E11E6"/>
    <w:rsid w:val="000E1B5F"/>
    <w:rsid w:val="000E2122"/>
    <w:rsid w:val="000E3550"/>
    <w:rsid w:val="000E3781"/>
    <w:rsid w:val="000E3B91"/>
    <w:rsid w:val="000E4F2A"/>
    <w:rsid w:val="000E629A"/>
    <w:rsid w:val="000E64D8"/>
    <w:rsid w:val="000F0C2F"/>
    <w:rsid w:val="000F508D"/>
    <w:rsid w:val="000F5095"/>
    <w:rsid w:val="000F5DCE"/>
    <w:rsid w:val="000F6F17"/>
    <w:rsid w:val="00100DF1"/>
    <w:rsid w:val="001021FA"/>
    <w:rsid w:val="001022D3"/>
    <w:rsid w:val="001111DB"/>
    <w:rsid w:val="00111DA6"/>
    <w:rsid w:val="0011202A"/>
    <w:rsid w:val="00113372"/>
    <w:rsid w:val="001137ED"/>
    <w:rsid w:val="00114710"/>
    <w:rsid w:val="0011676D"/>
    <w:rsid w:val="001167D8"/>
    <w:rsid w:val="001168F1"/>
    <w:rsid w:val="001179CC"/>
    <w:rsid w:val="00120919"/>
    <w:rsid w:val="0012149F"/>
    <w:rsid w:val="0012408A"/>
    <w:rsid w:val="001241DA"/>
    <w:rsid w:val="00126C98"/>
    <w:rsid w:val="00127752"/>
    <w:rsid w:val="00132FF1"/>
    <w:rsid w:val="00133210"/>
    <w:rsid w:val="0013351C"/>
    <w:rsid w:val="00133ECD"/>
    <w:rsid w:val="00134C77"/>
    <w:rsid w:val="00135B2F"/>
    <w:rsid w:val="00135F88"/>
    <w:rsid w:val="00140791"/>
    <w:rsid w:val="00143612"/>
    <w:rsid w:val="00146A16"/>
    <w:rsid w:val="0014781F"/>
    <w:rsid w:val="00147BCE"/>
    <w:rsid w:val="00150673"/>
    <w:rsid w:val="0015131C"/>
    <w:rsid w:val="00151677"/>
    <w:rsid w:val="00152A35"/>
    <w:rsid w:val="001561B7"/>
    <w:rsid w:val="001562CD"/>
    <w:rsid w:val="00156D42"/>
    <w:rsid w:val="00163796"/>
    <w:rsid w:val="00164229"/>
    <w:rsid w:val="00164721"/>
    <w:rsid w:val="00164CD3"/>
    <w:rsid w:val="00164CDA"/>
    <w:rsid w:val="00165638"/>
    <w:rsid w:val="00165E37"/>
    <w:rsid w:val="00165EAE"/>
    <w:rsid w:val="00165F38"/>
    <w:rsid w:val="0016684E"/>
    <w:rsid w:val="00167B7B"/>
    <w:rsid w:val="00171A0A"/>
    <w:rsid w:val="0017629B"/>
    <w:rsid w:val="00180198"/>
    <w:rsid w:val="0018270F"/>
    <w:rsid w:val="00184C85"/>
    <w:rsid w:val="00184CBC"/>
    <w:rsid w:val="00186589"/>
    <w:rsid w:val="001909C0"/>
    <w:rsid w:val="00190BFA"/>
    <w:rsid w:val="00191E76"/>
    <w:rsid w:val="0019220E"/>
    <w:rsid w:val="00192282"/>
    <w:rsid w:val="00192FCC"/>
    <w:rsid w:val="0019354A"/>
    <w:rsid w:val="001955FC"/>
    <w:rsid w:val="00195756"/>
    <w:rsid w:val="00195846"/>
    <w:rsid w:val="001967CD"/>
    <w:rsid w:val="001970C8"/>
    <w:rsid w:val="001A0466"/>
    <w:rsid w:val="001A06BA"/>
    <w:rsid w:val="001A0F1D"/>
    <w:rsid w:val="001A18DB"/>
    <w:rsid w:val="001A6499"/>
    <w:rsid w:val="001B1273"/>
    <w:rsid w:val="001B1A43"/>
    <w:rsid w:val="001B20D3"/>
    <w:rsid w:val="001B2C49"/>
    <w:rsid w:val="001B35F5"/>
    <w:rsid w:val="001B3DFD"/>
    <w:rsid w:val="001B4699"/>
    <w:rsid w:val="001B742B"/>
    <w:rsid w:val="001C0E72"/>
    <w:rsid w:val="001C191E"/>
    <w:rsid w:val="001C41D8"/>
    <w:rsid w:val="001C4395"/>
    <w:rsid w:val="001C56CB"/>
    <w:rsid w:val="001D0AC1"/>
    <w:rsid w:val="001D1896"/>
    <w:rsid w:val="001D258E"/>
    <w:rsid w:val="001D28A1"/>
    <w:rsid w:val="001D2CFF"/>
    <w:rsid w:val="001D6100"/>
    <w:rsid w:val="001D6BF2"/>
    <w:rsid w:val="001E0F78"/>
    <w:rsid w:val="001E49B0"/>
    <w:rsid w:val="001E5777"/>
    <w:rsid w:val="001E5FCD"/>
    <w:rsid w:val="001E636C"/>
    <w:rsid w:val="001E67C5"/>
    <w:rsid w:val="001F43F4"/>
    <w:rsid w:val="001F5046"/>
    <w:rsid w:val="001F64CA"/>
    <w:rsid w:val="001F796C"/>
    <w:rsid w:val="00201FD0"/>
    <w:rsid w:val="00202EBE"/>
    <w:rsid w:val="00205F35"/>
    <w:rsid w:val="0021011E"/>
    <w:rsid w:val="00211A23"/>
    <w:rsid w:val="00215D33"/>
    <w:rsid w:val="00216203"/>
    <w:rsid w:val="002221C3"/>
    <w:rsid w:val="00222286"/>
    <w:rsid w:val="00223AD9"/>
    <w:rsid w:val="0022446F"/>
    <w:rsid w:val="00224D4B"/>
    <w:rsid w:val="00225BF3"/>
    <w:rsid w:val="0022702D"/>
    <w:rsid w:val="0023132F"/>
    <w:rsid w:val="00231F9A"/>
    <w:rsid w:val="00236FCE"/>
    <w:rsid w:val="0023705D"/>
    <w:rsid w:val="0024062A"/>
    <w:rsid w:val="002417AF"/>
    <w:rsid w:val="00242278"/>
    <w:rsid w:val="0024269B"/>
    <w:rsid w:val="0024550B"/>
    <w:rsid w:val="002456C6"/>
    <w:rsid w:val="002462F7"/>
    <w:rsid w:val="0024765A"/>
    <w:rsid w:val="00247C39"/>
    <w:rsid w:val="0025075B"/>
    <w:rsid w:val="00252D64"/>
    <w:rsid w:val="00252EC0"/>
    <w:rsid w:val="00255A1A"/>
    <w:rsid w:val="00255FF6"/>
    <w:rsid w:val="00256B89"/>
    <w:rsid w:val="0026105A"/>
    <w:rsid w:val="002611A3"/>
    <w:rsid w:val="00261319"/>
    <w:rsid w:val="00262B29"/>
    <w:rsid w:val="00263325"/>
    <w:rsid w:val="00264BBB"/>
    <w:rsid w:val="002653F3"/>
    <w:rsid w:val="002655BF"/>
    <w:rsid w:val="00265650"/>
    <w:rsid w:val="00266ABD"/>
    <w:rsid w:val="002718D8"/>
    <w:rsid w:val="002779ED"/>
    <w:rsid w:val="00280344"/>
    <w:rsid w:val="00281594"/>
    <w:rsid w:val="00281CF0"/>
    <w:rsid w:val="0028273C"/>
    <w:rsid w:val="00282A0C"/>
    <w:rsid w:val="00284078"/>
    <w:rsid w:val="00284BE2"/>
    <w:rsid w:val="002859B7"/>
    <w:rsid w:val="00286AAA"/>
    <w:rsid w:val="00287387"/>
    <w:rsid w:val="0028791B"/>
    <w:rsid w:val="00287A83"/>
    <w:rsid w:val="00290E34"/>
    <w:rsid w:val="0029126D"/>
    <w:rsid w:val="00291290"/>
    <w:rsid w:val="00292CAE"/>
    <w:rsid w:val="0029420D"/>
    <w:rsid w:val="002957C0"/>
    <w:rsid w:val="00295F0B"/>
    <w:rsid w:val="00295FFE"/>
    <w:rsid w:val="00296129"/>
    <w:rsid w:val="002962EB"/>
    <w:rsid w:val="002A0460"/>
    <w:rsid w:val="002A58CD"/>
    <w:rsid w:val="002A65A7"/>
    <w:rsid w:val="002A71A8"/>
    <w:rsid w:val="002A7E10"/>
    <w:rsid w:val="002B04A0"/>
    <w:rsid w:val="002B1FDF"/>
    <w:rsid w:val="002B33D3"/>
    <w:rsid w:val="002B482C"/>
    <w:rsid w:val="002B7DC7"/>
    <w:rsid w:val="002B7E69"/>
    <w:rsid w:val="002C08CC"/>
    <w:rsid w:val="002C119E"/>
    <w:rsid w:val="002C1640"/>
    <w:rsid w:val="002C3F19"/>
    <w:rsid w:val="002C6070"/>
    <w:rsid w:val="002C64C8"/>
    <w:rsid w:val="002D2027"/>
    <w:rsid w:val="002D55FB"/>
    <w:rsid w:val="002D5F1A"/>
    <w:rsid w:val="002E29BE"/>
    <w:rsid w:val="002E3D34"/>
    <w:rsid w:val="002E5DE0"/>
    <w:rsid w:val="002E7366"/>
    <w:rsid w:val="002F031D"/>
    <w:rsid w:val="002F0EC9"/>
    <w:rsid w:val="002F1CB3"/>
    <w:rsid w:val="002F1EC9"/>
    <w:rsid w:val="002F35A3"/>
    <w:rsid w:val="002F373C"/>
    <w:rsid w:val="002F4018"/>
    <w:rsid w:val="002F582F"/>
    <w:rsid w:val="002F69FB"/>
    <w:rsid w:val="002F7AA6"/>
    <w:rsid w:val="00301EED"/>
    <w:rsid w:val="003022AE"/>
    <w:rsid w:val="003038BB"/>
    <w:rsid w:val="00303EF2"/>
    <w:rsid w:val="00305369"/>
    <w:rsid w:val="00306E0E"/>
    <w:rsid w:val="003126AC"/>
    <w:rsid w:val="00315196"/>
    <w:rsid w:val="003166E2"/>
    <w:rsid w:val="003222C0"/>
    <w:rsid w:val="0032269A"/>
    <w:rsid w:val="00322A99"/>
    <w:rsid w:val="00323AD6"/>
    <w:rsid w:val="00324838"/>
    <w:rsid w:val="003249F2"/>
    <w:rsid w:val="003251C8"/>
    <w:rsid w:val="00326CFA"/>
    <w:rsid w:val="00332454"/>
    <w:rsid w:val="003329CA"/>
    <w:rsid w:val="003334C0"/>
    <w:rsid w:val="00335269"/>
    <w:rsid w:val="00335CAA"/>
    <w:rsid w:val="00335F8B"/>
    <w:rsid w:val="00337AFF"/>
    <w:rsid w:val="00340F66"/>
    <w:rsid w:val="003453F8"/>
    <w:rsid w:val="00345A2D"/>
    <w:rsid w:val="00345E40"/>
    <w:rsid w:val="00346627"/>
    <w:rsid w:val="0034739E"/>
    <w:rsid w:val="0034797F"/>
    <w:rsid w:val="00350347"/>
    <w:rsid w:val="00353792"/>
    <w:rsid w:val="0035462F"/>
    <w:rsid w:val="00354922"/>
    <w:rsid w:val="003550C9"/>
    <w:rsid w:val="003558E4"/>
    <w:rsid w:val="00356C9C"/>
    <w:rsid w:val="00357EC1"/>
    <w:rsid w:val="00360DBF"/>
    <w:rsid w:val="00361BB1"/>
    <w:rsid w:val="00361C97"/>
    <w:rsid w:val="003622C7"/>
    <w:rsid w:val="0036284F"/>
    <w:rsid w:val="00362FA1"/>
    <w:rsid w:val="0036383F"/>
    <w:rsid w:val="00363A66"/>
    <w:rsid w:val="00363E20"/>
    <w:rsid w:val="00365D83"/>
    <w:rsid w:val="0036627F"/>
    <w:rsid w:val="003667B3"/>
    <w:rsid w:val="00367F7F"/>
    <w:rsid w:val="0037174C"/>
    <w:rsid w:val="003757FA"/>
    <w:rsid w:val="0037611B"/>
    <w:rsid w:val="003842DB"/>
    <w:rsid w:val="00385091"/>
    <w:rsid w:val="00385C82"/>
    <w:rsid w:val="00385C90"/>
    <w:rsid w:val="00387099"/>
    <w:rsid w:val="003875D8"/>
    <w:rsid w:val="003876CC"/>
    <w:rsid w:val="00391F32"/>
    <w:rsid w:val="00393B27"/>
    <w:rsid w:val="003940DD"/>
    <w:rsid w:val="0039765B"/>
    <w:rsid w:val="003A069E"/>
    <w:rsid w:val="003A407F"/>
    <w:rsid w:val="003A5826"/>
    <w:rsid w:val="003A62E5"/>
    <w:rsid w:val="003A7B78"/>
    <w:rsid w:val="003A7DE4"/>
    <w:rsid w:val="003B0D08"/>
    <w:rsid w:val="003B1EB6"/>
    <w:rsid w:val="003B27E3"/>
    <w:rsid w:val="003B28E2"/>
    <w:rsid w:val="003C11DB"/>
    <w:rsid w:val="003C1BD7"/>
    <w:rsid w:val="003C3058"/>
    <w:rsid w:val="003C359C"/>
    <w:rsid w:val="003C3B6A"/>
    <w:rsid w:val="003C53B8"/>
    <w:rsid w:val="003C6770"/>
    <w:rsid w:val="003C7BBA"/>
    <w:rsid w:val="003D4566"/>
    <w:rsid w:val="003E29F5"/>
    <w:rsid w:val="003E3BD5"/>
    <w:rsid w:val="003E45F5"/>
    <w:rsid w:val="003E4D30"/>
    <w:rsid w:val="003E5159"/>
    <w:rsid w:val="003E5681"/>
    <w:rsid w:val="003E5784"/>
    <w:rsid w:val="003E6A6B"/>
    <w:rsid w:val="003E6FFD"/>
    <w:rsid w:val="003F1232"/>
    <w:rsid w:val="003F1BBF"/>
    <w:rsid w:val="003F24F0"/>
    <w:rsid w:val="003F481B"/>
    <w:rsid w:val="003F6C76"/>
    <w:rsid w:val="003F7487"/>
    <w:rsid w:val="004036B0"/>
    <w:rsid w:val="004079CD"/>
    <w:rsid w:val="00410A5A"/>
    <w:rsid w:val="004128BE"/>
    <w:rsid w:val="004137A2"/>
    <w:rsid w:val="00413932"/>
    <w:rsid w:val="00414CB0"/>
    <w:rsid w:val="00417265"/>
    <w:rsid w:val="00420A18"/>
    <w:rsid w:val="004210D4"/>
    <w:rsid w:val="00422E99"/>
    <w:rsid w:val="004258FD"/>
    <w:rsid w:val="0043547B"/>
    <w:rsid w:val="00435DD0"/>
    <w:rsid w:val="004361F5"/>
    <w:rsid w:val="004365A6"/>
    <w:rsid w:val="00436C7A"/>
    <w:rsid w:val="00437376"/>
    <w:rsid w:val="00442FBF"/>
    <w:rsid w:val="004475B8"/>
    <w:rsid w:val="0044787E"/>
    <w:rsid w:val="004502FD"/>
    <w:rsid w:val="0045388F"/>
    <w:rsid w:val="0045419B"/>
    <w:rsid w:val="00454580"/>
    <w:rsid w:val="00454877"/>
    <w:rsid w:val="00455C7B"/>
    <w:rsid w:val="00455CED"/>
    <w:rsid w:val="00457AA0"/>
    <w:rsid w:val="00461582"/>
    <w:rsid w:val="004643FE"/>
    <w:rsid w:val="00464C13"/>
    <w:rsid w:val="0046605F"/>
    <w:rsid w:val="004678EC"/>
    <w:rsid w:val="00470B6A"/>
    <w:rsid w:val="0047220A"/>
    <w:rsid w:val="00472F48"/>
    <w:rsid w:val="00473B80"/>
    <w:rsid w:val="00475CB6"/>
    <w:rsid w:val="004766B3"/>
    <w:rsid w:val="00477539"/>
    <w:rsid w:val="00480400"/>
    <w:rsid w:val="0048046C"/>
    <w:rsid w:val="00481400"/>
    <w:rsid w:val="00481E81"/>
    <w:rsid w:val="00485E12"/>
    <w:rsid w:val="004860B6"/>
    <w:rsid w:val="00486C68"/>
    <w:rsid w:val="00490571"/>
    <w:rsid w:val="0049091E"/>
    <w:rsid w:val="00491791"/>
    <w:rsid w:val="00491BCF"/>
    <w:rsid w:val="00492B7C"/>
    <w:rsid w:val="00492C73"/>
    <w:rsid w:val="004930E6"/>
    <w:rsid w:val="004957E2"/>
    <w:rsid w:val="004959D0"/>
    <w:rsid w:val="00496B42"/>
    <w:rsid w:val="004A1192"/>
    <w:rsid w:val="004A246E"/>
    <w:rsid w:val="004A2494"/>
    <w:rsid w:val="004A2A35"/>
    <w:rsid w:val="004A455E"/>
    <w:rsid w:val="004A5D67"/>
    <w:rsid w:val="004A7788"/>
    <w:rsid w:val="004B235B"/>
    <w:rsid w:val="004B4C55"/>
    <w:rsid w:val="004B5B96"/>
    <w:rsid w:val="004B6E94"/>
    <w:rsid w:val="004C012E"/>
    <w:rsid w:val="004C3A44"/>
    <w:rsid w:val="004C5958"/>
    <w:rsid w:val="004C7594"/>
    <w:rsid w:val="004C7922"/>
    <w:rsid w:val="004D0782"/>
    <w:rsid w:val="004D30B7"/>
    <w:rsid w:val="004D6E06"/>
    <w:rsid w:val="004D7A1C"/>
    <w:rsid w:val="004E0883"/>
    <w:rsid w:val="004E16D3"/>
    <w:rsid w:val="004E19EC"/>
    <w:rsid w:val="004E2CCC"/>
    <w:rsid w:val="004E4BC1"/>
    <w:rsid w:val="004E65AB"/>
    <w:rsid w:val="004E70AA"/>
    <w:rsid w:val="004E7520"/>
    <w:rsid w:val="004E7952"/>
    <w:rsid w:val="004F0254"/>
    <w:rsid w:val="004F0B14"/>
    <w:rsid w:val="004F1C70"/>
    <w:rsid w:val="004F230C"/>
    <w:rsid w:val="004F3EA7"/>
    <w:rsid w:val="004F437C"/>
    <w:rsid w:val="004F7C9A"/>
    <w:rsid w:val="0050090E"/>
    <w:rsid w:val="00500D6C"/>
    <w:rsid w:val="005022DB"/>
    <w:rsid w:val="005023C6"/>
    <w:rsid w:val="00511390"/>
    <w:rsid w:val="00512599"/>
    <w:rsid w:val="0051271A"/>
    <w:rsid w:val="00513C94"/>
    <w:rsid w:val="00514C6C"/>
    <w:rsid w:val="00514F79"/>
    <w:rsid w:val="005155AF"/>
    <w:rsid w:val="00515E1D"/>
    <w:rsid w:val="005226D8"/>
    <w:rsid w:val="005249A5"/>
    <w:rsid w:val="00524CC2"/>
    <w:rsid w:val="00525292"/>
    <w:rsid w:val="00525D03"/>
    <w:rsid w:val="00526A9E"/>
    <w:rsid w:val="00527A69"/>
    <w:rsid w:val="005334F4"/>
    <w:rsid w:val="00534B84"/>
    <w:rsid w:val="00534C46"/>
    <w:rsid w:val="00536772"/>
    <w:rsid w:val="005371F8"/>
    <w:rsid w:val="00541F95"/>
    <w:rsid w:val="00542FAB"/>
    <w:rsid w:val="00544FCD"/>
    <w:rsid w:val="00546F05"/>
    <w:rsid w:val="00550AE4"/>
    <w:rsid w:val="00550C13"/>
    <w:rsid w:val="00550FF5"/>
    <w:rsid w:val="005521A3"/>
    <w:rsid w:val="00553AD0"/>
    <w:rsid w:val="00554F9D"/>
    <w:rsid w:val="0055527C"/>
    <w:rsid w:val="00556AFB"/>
    <w:rsid w:val="00566E7B"/>
    <w:rsid w:val="00566F05"/>
    <w:rsid w:val="00567D27"/>
    <w:rsid w:val="005700F9"/>
    <w:rsid w:val="005721D3"/>
    <w:rsid w:val="00572228"/>
    <w:rsid w:val="00574DC2"/>
    <w:rsid w:val="00582F80"/>
    <w:rsid w:val="00585213"/>
    <w:rsid w:val="00585D87"/>
    <w:rsid w:val="00586950"/>
    <w:rsid w:val="00586EF0"/>
    <w:rsid w:val="00587A70"/>
    <w:rsid w:val="00590BF1"/>
    <w:rsid w:val="00591D0A"/>
    <w:rsid w:val="00593BDE"/>
    <w:rsid w:val="00593D56"/>
    <w:rsid w:val="00596091"/>
    <w:rsid w:val="00596FB4"/>
    <w:rsid w:val="005A0846"/>
    <w:rsid w:val="005A159A"/>
    <w:rsid w:val="005A2B1E"/>
    <w:rsid w:val="005A3150"/>
    <w:rsid w:val="005A3D6E"/>
    <w:rsid w:val="005A671B"/>
    <w:rsid w:val="005A7095"/>
    <w:rsid w:val="005A72CA"/>
    <w:rsid w:val="005A7840"/>
    <w:rsid w:val="005A7A43"/>
    <w:rsid w:val="005B17AB"/>
    <w:rsid w:val="005B37F4"/>
    <w:rsid w:val="005B43EF"/>
    <w:rsid w:val="005B45A4"/>
    <w:rsid w:val="005B4625"/>
    <w:rsid w:val="005B67C6"/>
    <w:rsid w:val="005C0812"/>
    <w:rsid w:val="005C21F4"/>
    <w:rsid w:val="005C3825"/>
    <w:rsid w:val="005C41F4"/>
    <w:rsid w:val="005C5C5B"/>
    <w:rsid w:val="005C612C"/>
    <w:rsid w:val="005C68E9"/>
    <w:rsid w:val="005C735C"/>
    <w:rsid w:val="005C78E2"/>
    <w:rsid w:val="005D010D"/>
    <w:rsid w:val="005D2711"/>
    <w:rsid w:val="005E0047"/>
    <w:rsid w:val="005E06C9"/>
    <w:rsid w:val="005E10A6"/>
    <w:rsid w:val="005E1524"/>
    <w:rsid w:val="005E1C79"/>
    <w:rsid w:val="005E3720"/>
    <w:rsid w:val="005E4211"/>
    <w:rsid w:val="005E4A14"/>
    <w:rsid w:val="005E56FA"/>
    <w:rsid w:val="005E5CDD"/>
    <w:rsid w:val="005F58BA"/>
    <w:rsid w:val="005F5CA0"/>
    <w:rsid w:val="005F647D"/>
    <w:rsid w:val="00600229"/>
    <w:rsid w:val="00601394"/>
    <w:rsid w:val="00601BEB"/>
    <w:rsid w:val="00603AA4"/>
    <w:rsid w:val="00603E3C"/>
    <w:rsid w:val="006055F7"/>
    <w:rsid w:val="00606AFC"/>
    <w:rsid w:val="006073E2"/>
    <w:rsid w:val="00607497"/>
    <w:rsid w:val="006130EA"/>
    <w:rsid w:val="0061454C"/>
    <w:rsid w:val="00620D92"/>
    <w:rsid w:val="00621E40"/>
    <w:rsid w:val="00624DB2"/>
    <w:rsid w:val="00624EEC"/>
    <w:rsid w:val="00624F77"/>
    <w:rsid w:val="0062527E"/>
    <w:rsid w:val="006332C3"/>
    <w:rsid w:val="006337F0"/>
    <w:rsid w:val="006338EA"/>
    <w:rsid w:val="00634207"/>
    <w:rsid w:val="00634CF2"/>
    <w:rsid w:val="0063675F"/>
    <w:rsid w:val="0063714C"/>
    <w:rsid w:val="00637F81"/>
    <w:rsid w:val="00643BD5"/>
    <w:rsid w:val="0064500D"/>
    <w:rsid w:val="00647817"/>
    <w:rsid w:val="006479AD"/>
    <w:rsid w:val="00650C59"/>
    <w:rsid w:val="00651E62"/>
    <w:rsid w:val="0065215D"/>
    <w:rsid w:val="00653D09"/>
    <w:rsid w:val="006543E5"/>
    <w:rsid w:val="00654522"/>
    <w:rsid w:val="006546A4"/>
    <w:rsid w:val="006558DE"/>
    <w:rsid w:val="006607BA"/>
    <w:rsid w:val="00660AC2"/>
    <w:rsid w:val="0066279B"/>
    <w:rsid w:val="0066298E"/>
    <w:rsid w:val="00663AB8"/>
    <w:rsid w:val="00663B22"/>
    <w:rsid w:val="0066717A"/>
    <w:rsid w:val="0067237A"/>
    <w:rsid w:val="006723C3"/>
    <w:rsid w:val="0067324D"/>
    <w:rsid w:val="00675FAF"/>
    <w:rsid w:val="00680E7D"/>
    <w:rsid w:val="006845AA"/>
    <w:rsid w:val="00685201"/>
    <w:rsid w:val="00686F8C"/>
    <w:rsid w:val="00687AAB"/>
    <w:rsid w:val="00687AB6"/>
    <w:rsid w:val="006915C7"/>
    <w:rsid w:val="00693F86"/>
    <w:rsid w:val="006950F8"/>
    <w:rsid w:val="006952FB"/>
    <w:rsid w:val="00695C16"/>
    <w:rsid w:val="006962F2"/>
    <w:rsid w:val="006A32AF"/>
    <w:rsid w:val="006A35F8"/>
    <w:rsid w:val="006A4991"/>
    <w:rsid w:val="006A50C2"/>
    <w:rsid w:val="006A6FC5"/>
    <w:rsid w:val="006B316A"/>
    <w:rsid w:val="006B4021"/>
    <w:rsid w:val="006B44D0"/>
    <w:rsid w:val="006B45F1"/>
    <w:rsid w:val="006B51AC"/>
    <w:rsid w:val="006B5965"/>
    <w:rsid w:val="006B696B"/>
    <w:rsid w:val="006C261C"/>
    <w:rsid w:val="006C2726"/>
    <w:rsid w:val="006C2E54"/>
    <w:rsid w:val="006C37F6"/>
    <w:rsid w:val="006C714B"/>
    <w:rsid w:val="006D059D"/>
    <w:rsid w:val="006D3DF5"/>
    <w:rsid w:val="006D482D"/>
    <w:rsid w:val="006D5269"/>
    <w:rsid w:val="006D59E7"/>
    <w:rsid w:val="006E1536"/>
    <w:rsid w:val="006E6069"/>
    <w:rsid w:val="006E6072"/>
    <w:rsid w:val="006E611C"/>
    <w:rsid w:val="006E67A7"/>
    <w:rsid w:val="006E7D14"/>
    <w:rsid w:val="006F0E41"/>
    <w:rsid w:val="006F1431"/>
    <w:rsid w:val="006F1673"/>
    <w:rsid w:val="006F3515"/>
    <w:rsid w:val="006F42EE"/>
    <w:rsid w:val="006F430A"/>
    <w:rsid w:val="006F4890"/>
    <w:rsid w:val="006F5FE0"/>
    <w:rsid w:val="006F6BAD"/>
    <w:rsid w:val="006F7E03"/>
    <w:rsid w:val="007007A1"/>
    <w:rsid w:val="0070125A"/>
    <w:rsid w:val="00702CF1"/>
    <w:rsid w:val="007031B1"/>
    <w:rsid w:val="007043E0"/>
    <w:rsid w:val="00704E63"/>
    <w:rsid w:val="00706EF9"/>
    <w:rsid w:val="00707929"/>
    <w:rsid w:val="00710DDE"/>
    <w:rsid w:val="007146CD"/>
    <w:rsid w:val="0071520F"/>
    <w:rsid w:val="00722B11"/>
    <w:rsid w:val="00723601"/>
    <w:rsid w:val="00723820"/>
    <w:rsid w:val="00724F1C"/>
    <w:rsid w:val="007266DC"/>
    <w:rsid w:val="00727F6A"/>
    <w:rsid w:val="00727F84"/>
    <w:rsid w:val="007311A3"/>
    <w:rsid w:val="00731250"/>
    <w:rsid w:val="00731667"/>
    <w:rsid w:val="00732F29"/>
    <w:rsid w:val="00733855"/>
    <w:rsid w:val="00736381"/>
    <w:rsid w:val="007364BA"/>
    <w:rsid w:val="00736659"/>
    <w:rsid w:val="007377B9"/>
    <w:rsid w:val="007378C7"/>
    <w:rsid w:val="0074167C"/>
    <w:rsid w:val="0074305D"/>
    <w:rsid w:val="007433AA"/>
    <w:rsid w:val="00743666"/>
    <w:rsid w:val="00745637"/>
    <w:rsid w:val="00745F86"/>
    <w:rsid w:val="00746805"/>
    <w:rsid w:val="00746C15"/>
    <w:rsid w:val="00747672"/>
    <w:rsid w:val="00753EE1"/>
    <w:rsid w:val="00754480"/>
    <w:rsid w:val="00754E31"/>
    <w:rsid w:val="007562DB"/>
    <w:rsid w:val="00761F12"/>
    <w:rsid w:val="00762EED"/>
    <w:rsid w:val="00762F12"/>
    <w:rsid w:val="007663B9"/>
    <w:rsid w:val="007674FD"/>
    <w:rsid w:val="00770CC9"/>
    <w:rsid w:val="007711E5"/>
    <w:rsid w:val="00774586"/>
    <w:rsid w:val="0077469D"/>
    <w:rsid w:val="007752AE"/>
    <w:rsid w:val="00775696"/>
    <w:rsid w:val="00777EA0"/>
    <w:rsid w:val="00781B22"/>
    <w:rsid w:val="00782470"/>
    <w:rsid w:val="00782715"/>
    <w:rsid w:val="00782E6F"/>
    <w:rsid w:val="00784596"/>
    <w:rsid w:val="0078493B"/>
    <w:rsid w:val="007873AA"/>
    <w:rsid w:val="00787D3E"/>
    <w:rsid w:val="007904AD"/>
    <w:rsid w:val="0079241A"/>
    <w:rsid w:val="00793B03"/>
    <w:rsid w:val="0079582C"/>
    <w:rsid w:val="00795EE1"/>
    <w:rsid w:val="00795F3B"/>
    <w:rsid w:val="007A0915"/>
    <w:rsid w:val="007A18C7"/>
    <w:rsid w:val="007A3A47"/>
    <w:rsid w:val="007A6565"/>
    <w:rsid w:val="007B5823"/>
    <w:rsid w:val="007B6F92"/>
    <w:rsid w:val="007B7018"/>
    <w:rsid w:val="007B75DD"/>
    <w:rsid w:val="007C1606"/>
    <w:rsid w:val="007C16B8"/>
    <w:rsid w:val="007C26DD"/>
    <w:rsid w:val="007C3759"/>
    <w:rsid w:val="007C4C48"/>
    <w:rsid w:val="007C6CA3"/>
    <w:rsid w:val="007C780F"/>
    <w:rsid w:val="007D4154"/>
    <w:rsid w:val="007D6B08"/>
    <w:rsid w:val="007D6C86"/>
    <w:rsid w:val="007E1614"/>
    <w:rsid w:val="007E19AA"/>
    <w:rsid w:val="007E2293"/>
    <w:rsid w:val="007E2EB6"/>
    <w:rsid w:val="007E46A4"/>
    <w:rsid w:val="007E4860"/>
    <w:rsid w:val="007E5D9E"/>
    <w:rsid w:val="007E67CF"/>
    <w:rsid w:val="007E7051"/>
    <w:rsid w:val="007F2BE3"/>
    <w:rsid w:val="007F3FA5"/>
    <w:rsid w:val="007F5903"/>
    <w:rsid w:val="007F5EFF"/>
    <w:rsid w:val="007F64AA"/>
    <w:rsid w:val="0080316A"/>
    <w:rsid w:val="00803A51"/>
    <w:rsid w:val="0080477E"/>
    <w:rsid w:val="00807873"/>
    <w:rsid w:val="008114D4"/>
    <w:rsid w:val="00812296"/>
    <w:rsid w:val="00812A2F"/>
    <w:rsid w:val="008130DF"/>
    <w:rsid w:val="008141C9"/>
    <w:rsid w:val="00821FCA"/>
    <w:rsid w:val="008223AB"/>
    <w:rsid w:val="00822621"/>
    <w:rsid w:val="00824E00"/>
    <w:rsid w:val="00826EE6"/>
    <w:rsid w:val="00827266"/>
    <w:rsid w:val="008272AA"/>
    <w:rsid w:val="008314B3"/>
    <w:rsid w:val="00834855"/>
    <w:rsid w:val="0084005C"/>
    <w:rsid w:val="00840B55"/>
    <w:rsid w:val="008413E8"/>
    <w:rsid w:val="0084236A"/>
    <w:rsid w:val="008428EE"/>
    <w:rsid w:val="00842A9E"/>
    <w:rsid w:val="00843244"/>
    <w:rsid w:val="00845712"/>
    <w:rsid w:val="008479FB"/>
    <w:rsid w:val="00850CE9"/>
    <w:rsid w:val="00855280"/>
    <w:rsid w:val="008565E8"/>
    <w:rsid w:val="00860F3F"/>
    <w:rsid w:val="008615D2"/>
    <w:rsid w:val="0086160E"/>
    <w:rsid w:val="00862ADB"/>
    <w:rsid w:val="00863730"/>
    <w:rsid w:val="008637C6"/>
    <w:rsid w:val="0087072E"/>
    <w:rsid w:val="0087129D"/>
    <w:rsid w:val="00871CCA"/>
    <w:rsid w:val="00874C3E"/>
    <w:rsid w:val="00875F1A"/>
    <w:rsid w:val="00876315"/>
    <w:rsid w:val="00876D3A"/>
    <w:rsid w:val="00880164"/>
    <w:rsid w:val="0088164F"/>
    <w:rsid w:val="0088322F"/>
    <w:rsid w:val="00884140"/>
    <w:rsid w:val="0088485C"/>
    <w:rsid w:val="00884C44"/>
    <w:rsid w:val="00886D4C"/>
    <w:rsid w:val="00886EA1"/>
    <w:rsid w:val="00890915"/>
    <w:rsid w:val="00892172"/>
    <w:rsid w:val="0089227E"/>
    <w:rsid w:val="008923F6"/>
    <w:rsid w:val="00893952"/>
    <w:rsid w:val="008945AA"/>
    <w:rsid w:val="008945DE"/>
    <w:rsid w:val="008963D6"/>
    <w:rsid w:val="008975E6"/>
    <w:rsid w:val="008A0156"/>
    <w:rsid w:val="008A01B4"/>
    <w:rsid w:val="008A18FC"/>
    <w:rsid w:val="008A3A8E"/>
    <w:rsid w:val="008A6509"/>
    <w:rsid w:val="008A704E"/>
    <w:rsid w:val="008B00A2"/>
    <w:rsid w:val="008B0E1F"/>
    <w:rsid w:val="008B1195"/>
    <w:rsid w:val="008B419F"/>
    <w:rsid w:val="008B4EDA"/>
    <w:rsid w:val="008B51C8"/>
    <w:rsid w:val="008B77EF"/>
    <w:rsid w:val="008B7D71"/>
    <w:rsid w:val="008C0C8E"/>
    <w:rsid w:val="008C15D3"/>
    <w:rsid w:val="008C2EB7"/>
    <w:rsid w:val="008C506B"/>
    <w:rsid w:val="008C5F53"/>
    <w:rsid w:val="008C6416"/>
    <w:rsid w:val="008D1AB0"/>
    <w:rsid w:val="008D1F8C"/>
    <w:rsid w:val="008D3545"/>
    <w:rsid w:val="008D4986"/>
    <w:rsid w:val="008D4A71"/>
    <w:rsid w:val="008E1D62"/>
    <w:rsid w:val="008E2E54"/>
    <w:rsid w:val="008E42DC"/>
    <w:rsid w:val="008E46FE"/>
    <w:rsid w:val="008E6774"/>
    <w:rsid w:val="008E68C5"/>
    <w:rsid w:val="008E7C2B"/>
    <w:rsid w:val="008F1F22"/>
    <w:rsid w:val="008F1FB6"/>
    <w:rsid w:val="008F23D2"/>
    <w:rsid w:val="008F2B32"/>
    <w:rsid w:val="008F3490"/>
    <w:rsid w:val="008F44F8"/>
    <w:rsid w:val="008F45D4"/>
    <w:rsid w:val="008F6D30"/>
    <w:rsid w:val="008F7880"/>
    <w:rsid w:val="00900B36"/>
    <w:rsid w:val="00902376"/>
    <w:rsid w:val="009036F3"/>
    <w:rsid w:val="00904C64"/>
    <w:rsid w:val="00906436"/>
    <w:rsid w:val="0091084B"/>
    <w:rsid w:val="00911183"/>
    <w:rsid w:val="0091400D"/>
    <w:rsid w:val="00914E1C"/>
    <w:rsid w:val="0091538E"/>
    <w:rsid w:val="0091779D"/>
    <w:rsid w:val="009221D0"/>
    <w:rsid w:val="0092637F"/>
    <w:rsid w:val="009273DA"/>
    <w:rsid w:val="00930C9D"/>
    <w:rsid w:val="0093164E"/>
    <w:rsid w:val="0093166C"/>
    <w:rsid w:val="009335BC"/>
    <w:rsid w:val="009353B6"/>
    <w:rsid w:val="00935711"/>
    <w:rsid w:val="0093606E"/>
    <w:rsid w:val="00936936"/>
    <w:rsid w:val="00936AD8"/>
    <w:rsid w:val="00936CAD"/>
    <w:rsid w:val="0094022E"/>
    <w:rsid w:val="00942007"/>
    <w:rsid w:val="00945DEF"/>
    <w:rsid w:val="0094698D"/>
    <w:rsid w:val="00950797"/>
    <w:rsid w:val="00950EDD"/>
    <w:rsid w:val="00952A16"/>
    <w:rsid w:val="00953DEE"/>
    <w:rsid w:val="0095425F"/>
    <w:rsid w:val="00955D8A"/>
    <w:rsid w:val="00957DA3"/>
    <w:rsid w:val="00961E6F"/>
    <w:rsid w:val="00962C84"/>
    <w:rsid w:val="00964EBE"/>
    <w:rsid w:val="00965D17"/>
    <w:rsid w:val="00967958"/>
    <w:rsid w:val="009735C1"/>
    <w:rsid w:val="009746DB"/>
    <w:rsid w:val="00975047"/>
    <w:rsid w:val="00975743"/>
    <w:rsid w:val="009760F7"/>
    <w:rsid w:val="00976FAE"/>
    <w:rsid w:val="0098142C"/>
    <w:rsid w:val="0098396B"/>
    <w:rsid w:val="009843CD"/>
    <w:rsid w:val="009902FA"/>
    <w:rsid w:val="00991E0F"/>
    <w:rsid w:val="00996F59"/>
    <w:rsid w:val="009A2A07"/>
    <w:rsid w:val="009A3AF6"/>
    <w:rsid w:val="009A60D5"/>
    <w:rsid w:val="009A60EF"/>
    <w:rsid w:val="009A6C43"/>
    <w:rsid w:val="009B1D74"/>
    <w:rsid w:val="009B2E76"/>
    <w:rsid w:val="009B3AAF"/>
    <w:rsid w:val="009B6A30"/>
    <w:rsid w:val="009C0850"/>
    <w:rsid w:val="009C1723"/>
    <w:rsid w:val="009C226B"/>
    <w:rsid w:val="009C4FAE"/>
    <w:rsid w:val="009C51E2"/>
    <w:rsid w:val="009C6836"/>
    <w:rsid w:val="009D0247"/>
    <w:rsid w:val="009D326E"/>
    <w:rsid w:val="009D36D9"/>
    <w:rsid w:val="009D383C"/>
    <w:rsid w:val="009D39C1"/>
    <w:rsid w:val="009D46E9"/>
    <w:rsid w:val="009D51CD"/>
    <w:rsid w:val="009D66F1"/>
    <w:rsid w:val="009D6C09"/>
    <w:rsid w:val="009D73B6"/>
    <w:rsid w:val="009D7EE1"/>
    <w:rsid w:val="009E20B9"/>
    <w:rsid w:val="009E40F3"/>
    <w:rsid w:val="009E427F"/>
    <w:rsid w:val="009E61B6"/>
    <w:rsid w:val="009E6DDA"/>
    <w:rsid w:val="009F20B3"/>
    <w:rsid w:val="009F2B33"/>
    <w:rsid w:val="009F2C03"/>
    <w:rsid w:val="009F4F5B"/>
    <w:rsid w:val="009F6DD1"/>
    <w:rsid w:val="009F7363"/>
    <w:rsid w:val="009F7AF9"/>
    <w:rsid w:val="00A0037E"/>
    <w:rsid w:val="00A004D5"/>
    <w:rsid w:val="00A018E0"/>
    <w:rsid w:val="00A04F9B"/>
    <w:rsid w:val="00A057AF"/>
    <w:rsid w:val="00A060E3"/>
    <w:rsid w:val="00A06433"/>
    <w:rsid w:val="00A06800"/>
    <w:rsid w:val="00A0685D"/>
    <w:rsid w:val="00A06A85"/>
    <w:rsid w:val="00A075B8"/>
    <w:rsid w:val="00A11EB8"/>
    <w:rsid w:val="00A1307E"/>
    <w:rsid w:val="00A13A6D"/>
    <w:rsid w:val="00A15FAD"/>
    <w:rsid w:val="00A165FD"/>
    <w:rsid w:val="00A169B1"/>
    <w:rsid w:val="00A1792F"/>
    <w:rsid w:val="00A21A8F"/>
    <w:rsid w:val="00A233C9"/>
    <w:rsid w:val="00A30CB0"/>
    <w:rsid w:val="00A31C22"/>
    <w:rsid w:val="00A31DFB"/>
    <w:rsid w:val="00A33297"/>
    <w:rsid w:val="00A33A3C"/>
    <w:rsid w:val="00A35E79"/>
    <w:rsid w:val="00A37B5D"/>
    <w:rsid w:val="00A410B4"/>
    <w:rsid w:val="00A417CF"/>
    <w:rsid w:val="00A424FC"/>
    <w:rsid w:val="00A4305A"/>
    <w:rsid w:val="00A437BE"/>
    <w:rsid w:val="00A45F30"/>
    <w:rsid w:val="00A501DB"/>
    <w:rsid w:val="00A51C7D"/>
    <w:rsid w:val="00A53F5E"/>
    <w:rsid w:val="00A55A62"/>
    <w:rsid w:val="00A56D30"/>
    <w:rsid w:val="00A57C13"/>
    <w:rsid w:val="00A606B1"/>
    <w:rsid w:val="00A62DB3"/>
    <w:rsid w:val="00A64E55"/>
    <w:rsid w:val="00A650CC"/>
    <w:rsid w:val="00A65266"/>
    <w:rsid w:val="00A65302"/>
    <w:rsid w:val="00A653F7"/>
    <w:rsid w:val="00A676C3"/>
    <w:rsid w:val="00A67C92"/>
    <w:rsid w:val="00A74D1F"/>
    <w:rsid w:val="00A76473"/>
    <w:rsid w:val="00A769AA"/>
    <w:rsid w:val="00A774F2"/>
    <w:rsid w:val="00A77F81"/>
    <w:rsid w:val="00A82FDF"/>
    <w:rsid w:val="00A84CBC"/>
    <w:rsid w:val="00A8538C"/>
    <w:rsid w:val="00A85D93"/>
    <w:rsid w:val="00A86DB6"/>
    <w:rsid w:val="00A87300"/>
    <w:rsid w:val="00A91154"/>
    <w:rsid w:val="00A93552"/>
    <w:rsid w:val="00A93B51"/>
    <w:rsid w:val="00A93CE7"/>
    <w:rsid w:val="00A94414"/>
    <w:rsid w:val="00A94B37"/>
    <w:rsid w:val="00A95B80"/>
    <w:rsid w:val="00A975A1"/>
    <w:rsid w:val="00A97611"/>
    <w:rsid w:val="00A97A0C"/>
    <w:rsid w:val="00AA152F"/>
    <w:rsid w:val="00AA1B84"/>
    <w:rsid w:val="00AB09AE"/>
    <w:rsid w:val="00AB2D6F"/>
    <w:rsid w:val="00AB60DD"/>
    <w:rsid w:val="00AC3A61"/>
    <w:rsid w:val="00AC432D"/>
    <w:rsid w:val="00AC55A9"/>
    <w:rsid w:val="00AC6C05"/>
    <w:rsid w:val="00AD02C5"/>
    <w:rsid w:val="00AD06C3"/>
    <w:rsid w:val="00AD1949"/>
    <w:rsid w:val="00AD1B3A"/>
    <w:rsid w:val="00AD2289"/>
    <w:rsid w:val="00AD4EB2"/>
    <w:rsid w:val="00AD6F72"/>
    <w:rsid w:val="00AE02DC"/>
    <w:rsid w:val="00AE10A7"/>
    <w:rsid w:val="00AE1AD3"/>
    <w:rsid w:val="00AE560F"/>
    <w:rsid w:val="00AE648B"/>
    <w:rsid w:val="00AE7BA2"/>
    <w:rsid w:val="00AF2324"/>
    <w:rsid w:val="00AF40C8"/>
    <w:rsid w:val="00AF49F3"/>
    <w:rsid w:val="00AF4C88"/>
    <w:rsid w:val="00AF4F55"/>
    <w:rsid w:val="00AF556F"/>
    <w:rsid w:val="00AF61FF"/>
    <w:rsid w:val="00AF6826"/>
    <w:rsid w:val="00AF7A12"/>
    <w:rsid w:val="00B062A3"/>
    <w:rsid w:val="00B06737"/>
    <w:rsid w:val="00B073D4"/>
    <w:rsid w:val="00B10D89"/>
    <w:rsid w:val="00B11880"/>
    <w:rsid w:val="00B11F87"/>
    <w:rsid w:val="00B1320C"/>
    <w:rsid w:val="00B20AE1"/>
    <w:rsid w:val="00B217DC"/>
    <w:rsid w:val="00B236C9"/>
    <w:rsid w:val="00B23BEF"/>
    <w:rsid w:val="00B242E6"/>
    <w:rsid w:val="00B266CC"/>
    <w:rsid w:val="00B271A1"/>
    <w:rsid w:val="00B31D52"/>
    <w:rsid w:val="00B34122"/>
    <w:rsid w:val="00B36208"/>
    <w:rsid w:val="00B36866"/>
    <w:rsid w:val="00B36C92"/>
    <w:rsid w:val="00B41853"/>
    <w:rsid w:val="00B41B24"/>
    <w:rsid w:val="00B430CF"/>
    <w:rsid w:val="00B46333"/>
    <w:rsid w:val="00B46EE0"/>
    <w:rsid w:val="00B50342"/>
    <w:rsid w:val="00B53999"/>
    <w:rsid w:val="00B54909"/>
    <w:rsid w:val="00B54FC5"/>
    <w:rsid w:val="00B56EB1"/>
    <w:rsid w:val="00B5788C"/>
    <w:rsid w:val="00B60CF5"/>
    <w:rsid w:val="00B62BDA"/>
    <w:rsid w:val="00B6359D"/>
    <w:rsid w:val="00B6521E"/>
    <w:rsid w:val="00B655AD"/>
    <w:rsid w:val="00B65F03"/>
    <w:rsid w:val="00B674F9"/>
    <w:rsid w:val="00B6788B"/>
    <w:rsid w:val="00B7337B"/>
    <w:rsid w:val="00B734E2"/>
    <w:rsid w:val="00B73776"/>
    <w:rsid w:val="00B745B7"/>
    <w:rsid w:val="00B74ACE"/>
    <w:rsid w:val="00B74B80"/>
    <w:rsid w:val="00B77E6D"/>
    <w:rsid w:val="00B810FC"/>
    <w:rsid w:val="00B8178D"/>
    <w:rsid w:val="00B81A07"/>
    <w:rsid w:val="00B823CB"/>
    <w:rsid w:val="00B82FC8"/>
    <w:rsid w:val="00B83CE1"/>
    <w:rsid w:val="00B84151"/>
    <w:rsid w:val="00B90A90"/>
    <w:rsid w:val="00B90DAC"/>
    <w:rsid w:val="00B93D89"/>
    <w:rsid w:val="00B94306"/>
    <w:rsid w:val="00B94721"/>
    <w:rsid w:val="00B94CF3"/>
    <w:rsid w:val="00B95280"/>
    <w:rsid w:val="00B95927"/>
    <w:rsid w:val="00B96DE4"/>
    <w:rsid w:val="00BA03F2"/>
    <w:rsid w:val="00BA0CC5"/>
    <w:rsid w:val="00BA1965"/>
    <w:rsid w:val="00BA1D1A"/>
    <w:rsid w:val="00BA32A6"/>
    <w:rsid w:val="00BA4344"/>
    <w:rsid w:val="00BA6175"/>
    <w:rsid w:val="00BA66BF"/>
    <w:rsid w:val="00BA7857"/>
    <w:rsid w:val="00BB4E40"/>
    <w:rsid w:val="00BB5A5C"/>
    <w:rsid w:val="00BC0551"/>
    <w:rsid w:val="00BC0EC1"/>
    <w:rsid w:val="00BC1F01"/>
    <w:rsid w:val="00BD0E41"/>
    <w:rsid w:val="00BD3454"/>
    <w:rsid w:val="00BD34FC"/>
    <w:rsid w:val="00BD3B5D"/>
    <w:rsid w:val="00BD54CE"/>
    <w:rsid w:val="00BD57C6"/>
    <w:rsid w:val="00BD64F4"/>
    <w:rsid w:val="00BD757B"/>
    <w:rsid w:val="00BD781C"/>
    <w:rsid w:val="00BE0596"/>
    <w:rsid w:val="00BE0F09"/>
    <w:rsid w:val="00BE1976"/>
    <w:rsid w:val="00BE389F"/>
    <w:rsid w:val="00BE4823"/>
    <w:rsid w:val="00BE50CA"/>
    <w:rsid w:val="00BE5D09"/>
    <w:rsid w:val="00BF0B89"/>
    <w:rsid w:val="00BF2D1A"/>
    <w:rsid w:val="00BF2DFC"/>
    <w:rsid w:val="00BF37B2"/>
    <w:rsid w:val="00BF4A3E"/>
    <w:rsid w:val="00BF53F1"/>
    <w:rsid w:val="00C00F95"/>
    <w:rsid w:val="00C01CDB"/>
    <w:rsid w:val="00C02EA7"/>
    <w:rsid w:val="00C0401A"/>
    <w:rsid w:val="00C04EDA"/>
    <w:rsid w:val="00C0585A"/>
    <w:rsid w:val="00C05A9C"/>
    <w:rsid w:val="00C05B54"/>
    <w:rsid w:val="00C05E97"/>
    <w:rsid w:val="00C06B80"/>
    <w:rsid w:val="00C0707A"/>
    <w:rsid w:val="00C115F9"/>
    <w:rsid w:val="00C11FA0"/>
    <w:rsid w:val="00C1582F"/>
    <w:rsid w:val="00C20044"/>
    <w:rsid w:val="00C207E5"/>
    <w:rsid w:val="00C20B9C"/>
    <w:rsid w:val="00C222E9"/>
    <w:rsid w:val="00C22B1F"/>
    <w:rsid w:val="00C24637"/>
    <w:rsid w:val="00C25714"/>
    <w:rsid w:val="00C25B87"/>
    <w:rsid w:val="00C26029"/>
    <w:rsid w:val="00C26EFD"/>
    <w:rsid w:val="00C40BB8"/>
    <w:rsid w:val="00C45272"/>
    <w:rsid w:val="00C45853"/>
    <w:rsid w:val="00C45E61"/>
    <w:rsid w:val="00C479AF"/>
    <w:rsid w:val="00C52462"/>
    <w:rsid w:val="00C528CA"/>
    <w:rsid w:val="00C54941"/>
    <w:rsid w:val="00C5597D"/>
    <w:rsid w:val="00C60DD3"/>
    <w:rsid w:val="00C63004"/>
    <w:rsid w:val="00C64181"/>
    <w:rsid w:val="00C662A3"/>
    <w:rsid w:val="00C67A62"/>
    <w:rsid w:val="00C71367"/>
    <w:rsid w:val="00C71731"/>
    <w:rsid w:val="00C7230B"/>
    <w:rsid w:val="00C74D08"/>
    <w:rsid w:val="00C76550"/>
    <w:rsid w:val="00C771E0"/>
    <w:rsid w:val="00C77739"/>
    <w:rsid w:val="00C80C74"/>
    <w:rsid w:val="00C819C6"/>
    <w:rsid w:val="00C81F94"/>
    <w:rsid w:val="00C83F4E"/>
    <w:rsid w:val="00C842DF"/>
    <w:rsid w:val="00C851F9"/>
    <w:rsid w:val="00C8584E"/>
    <w:rsid w:val="00C859CF"/>
    <w:rsid w:val="00C87135"/>
    <w:rsid w:val="00C87881"/>
    <w:rsid w:val="00C87A01"/>
    <w:rsid w:val="00C900CA"/>
    <w:rsid w:val="00C900D6"/>
    <w:rsid w:val="00C91BB6"/>
    <w:rsid w:val="00C91FAB"/>
    <w:rsid w:val="00C91FB3"/>
    <w:rsid w:val="00C92493"/>
    <w:rsid w:val="00C93DC9"/>
    <w:rsid w:val="00C956E4"/>
    <w:rsid w:val="00C95CFB"/>
    <w:rsid w:val="00C96F14"/>
    <w:rsid w:val="00CA0457"/>
    <w:rsid w:val="00CA0787"/>
    <w:rsid w:val="00CA1191"/>
    <w:rsid w:val="00CA3260"/>
    <w:rsid w:val="00CA4DA7"/>
    <w:rsid w:val="00CA4F91"/>
    <w:rsid w:val="00CA5281"/>
    <w:rsid w:val="00CA560C"/>
    <w:rsid w:val="00CB0E54"/>
    <w:rsid w:val="00CB3E12"/>
    <w:rsid w:val="00CB6536"/>
    <w:rsid w:val="00CB6728"/>
    <w:rsid w:val="00CB72C0"/>
    <w:rsid w:val="00CC0203"/>
    <w:rsid w:val="00CC0665"/>
    <w:rsid w:val="00CC12C5"/>
    <w:rsid w:val="00CC1F1C"/>
    <w:rsid w:val="00CC1FC3"/>
    <w:rsid w:val="00CC214B"/>
    <w:rsid w:val="00CC2FAF"/>
    <w:rsid w:val="00CC35B6"/>
    <w:rsid w:val="00CC3781"/>
    <w:rsid w:val="00CC40CE"/>
    <w:rsid w:val="00CC51FF"/>
    <w:rsid w:val="00CC5E44"/>
    <w:rsid w:val="00CC6055"/>
    <w:rsid w:val="00CC6C4B"/>
    <w:rsid w:val="00CD05C2"/>
    <w:rsid w:val="00CD08DA"/>
    <w:rsid w:val="00CD22BB"/>
    <w:rsid w:val="00CD25E3"/>
    <w:rsid w:val="00CD6583"/>
    <w:rsid w:val="00CD7C41"/>
    <w:rsid w:val="00CE07E2"/>
    <w:rsid w:val="00CE1CDF"/>
    <w:rsid w:val="00CE25DA"/>
    <w:rsid w:val="00CE2F9C"/>
    <w:rsid w:val="00CE3145"/>
    <w:rsid w:val="00CE33FF"/>
    <w:rsid w:val="00CE6589"/>
    <w:rsid w:val="00CF0B19"/>
    <w:rsid w:val="00CF7A7E"/>
    <w:rsid w:val="00D01117"/>
    <w:rsid w:val="00D02591"/>
    <w:rsid w:val="00D03B88"/>
    <w:rsid w:val="00D04B7C"/>
    <w:rsid w:val="00D04C34"/>
    <w:rsid w:val="00D06E6A"/>
    <w:rsid w:val="00D14763"/>
    <w:rsid w:val="00D162BC"/>
    <w:rsid w:val="00D171F4"/>
    <w:rsid w:val="00D17B90"/>
    <w:rsid w:val="00D20F17"/>
    <w:rsid w:val="00D214FE"/>
    <w:rsid w:val="00D238DF"/>
    <w:rsid w:val="00D245D1"/>
    <w:rsid w:val="00D2575D"/>
    <w:rsid w:val="00D27C1D"/>
    <w:rsid w:val="00D308C6"/>
    <w:rsid w:val="00D30ADD"/>
    <w:rsid w:val="00D32D82"/>
    <w:rsid w:val="00D34649"/>
    <w:rsid w:val="00D35320"/>
    <w:rsid w:val="00D40000"/>
    <w:rsid w:val="00D40F72"/>
    <w:rsid w:val="00D4137B"/>
    <w:rsid w:val="00D4222C"/>
    <w:rsid w:val="00D42EE6"/>
    <w:rsid w:val="00D44995"/>
    <w:rsid w:val="00D45622"/>
    <w:rsid w:val="00D466FE"/>
    <w:rsid w:val="00D51E4E"/>
    <w:rsid w:val="00D5391E"/>
    <w:rsid w:val="00D57ECF"/>
    <w:rsid w:val="00D611EF"/>
    <w:rsid w:val="00D62352"/>
    <w:rsid w:val="00D635CF"/>
    <w:rsid w:val="00D64020"/>
    <w:rsid w:val="00D65F0C"/>
    <w:rsid w:val="00D662A4"/>
    <w:rsid w:val="00D669E2"/>
    <w:rsid w:val="00D676BD"/>
    <w:rsid w:val="00D6775D"/>
    <w:rsid w:val="00D7025B"/>
    <w:rsid w:val="00D70A2D"/>
    <w:rsid w:val="00D71A74"/>
    <w:rsid w:val="00D74D17"/>
    <w:rsid w:val="00D76177"/>
    <w:rsid w:val="00D769C7"/>
    <w:rsid w:val="00D76DE0"/>
    <w:rsid w:val="00D77165"/>
    <w:rsid w:val="00D778CB"/>
    <w:rsid w:val="00D82178"/>
    <w:rsid w:val="00D824AF"/>
    <w:rsid w:val="00D843C6"/>
    <w:rsid w:val="00D87447"/>
    <w:rsid w:val="00D90B0F"/>
    <w:rsid w:val="00D92B50"/>
    <w:rsid w:val="00D92BFF"/>
    <w:rsid w:val="00D936DA"/>
    <w:rsid w:val="00D93E8A"/>
    <w:rsid w:val="00D96060"/>
    <w:rsid w:val="00D970E4"/>
    <w:rsid w:val="00DA1140"/>
    <w:rsid w:val="00DA2D3F"/>
    <w:rsid w:val="00DA2DAB"/>
    <w:rsid w:val="00DA404B"/>
    <w:rsid w:val="00DA513A"/>
    <w:rsid w:val="00DA5691"/>
    <w:rsid w:val="00DB023D"/>
    <w:rsid w:val="00DB04EA"/>
    <w:rsid w:val="00DB421D"/>
    <w:rsid w:val="00DB44AD"/>
    <w:rsid w:val="00DB4E5A"/>
    <w:rsid w:val="00DB5785"/>
    <w:rsid w:val="00DB58E9"/>
    <w:rsid w:val="00DB5B49"/>
    <w:rsid w:val="00DB6F07"/>
    <w:rsid w:val="00DC13BD"/>
    <w:rsid w:val="00DC255E"/>
    <w:rsid w:val="00DC2FDC"/>
    <w:rsid w:val="00DC333F"/>
    <w:rsid w:val="00DC567C"/>
    <w:rsid w:val="00DC58CC"/>
    <w:rsid w:val="00DC763A"/>
    <w:rsid w:val="00DD39FD"/>
    <w:rsid w:val="00DD610B"/>
    <w:rsid w:val="00DD6735"/>
    <w:rsid w:val="00DD6990"/>
    <w:rsid w:val="00DD6E27"/>
    <w:rsid w:val="00DD7FA3"/>
    <w:rsid w:val="00DE1248"/>
    <w:rsid w:val="00DE7967"/>
    <w:rsid w:val="00DF5E22"/>
    <w:rsid w:val="00DF708A"/>
    <w:rsid w:val="00E002C6"/>
    <w:rsid w:val="00E00E95"/>
    <w:rsid w:val="00E010A7"/>
    <w:rsid w:val="00E01C3A"/>
    <w:rsid w:val="00E0426F"/>
    <w:rsid w:val="00E045F3"/>
    <w:rsid w:val="00E04A5D"/>
    <w:rsid w:val="00E07478"/>
    <w:rsid w:val="00E0771C"/>
    <w:rsid w:val="00E10036"/>
    <w:rsid w:val="00E12848"/>
    <w:rsid w:val="00E14DF7"/>
    <w:rsid w:val="00E16392"/>
    <w:rsid w:val="00E16696"/>
    <w:rsid w:val="00E16B6D"/>
    <w:rsid w:val="00E24D05"/>
    <w:rsid w:val="00E26606"/>
    <w:rsid w:val="00E26997"/>
    <w:rsid w:val="00E30BAD"/>
    <w:rsid w:val="00E30D70"/>
    <w:rsid w:val="00E310A8"/>
    <w:rsid w:val="00E31B70"/>
    <w:rsid w:val="00E31EB2"/>
    <w:rsid w:val="00E32A11"/>
    <w:rsid w:val="00E355D6"/>
    <w:rsid w:val="00E3571F"/>
    <w:rsid w:val="00E36026"/>
    <w:rsid w:val="00E36BCC"/>
    <w:rsid w:val="00E41D88"/>
    <w:rsid w:val="00E44220"/>
    <w:rsid w:val="00E44B42"/>
    <w:rsid w:val="00E4603A"/>
    <w:rsid w:val="00E4670B"/>
    <w:rsid w:val="00E47322"/>
    <w:rsid w:val="00E47EC0"/>
    <w:rsid w:val="00E47F4B"/>
    <w:rsid w:val="00E51BAE"/>
    <w:rsid w:val="00E5312C"/>
    <w:rsid w:val="00E56310"/>
    <w:rsid w:val="00E56466"/>
    <w:rsid w:val="00E60E52"/>
    <w:rsid w:val="00E636A9"/>
    <w:rsid w:val="00E63787"/>
    <w:rsid w:val="00E644AB"/>
    <w:rsid w:val="00E65032"/>
    <w:rsid w:val="00E65E2F"/>
    <w:rsid w:val="00E6730C"/>
    <w:rsid w:val="00E67577"/>
    <w:rsid w:val="00E67CCD"/>
    <w:rsid w:val="00E73C01"/>
    <w:rsid w:val="00E753FF"/>
    <w:rsid w:val="00E7548E"/>
    <w:rsid w:val="00E759D5"/>
    <w:rsid w:val="00E76B0C"/>
    <w:rsid w:val="00E76EF3"/>
    <w:rsid w:val="00E806F4"/>
    <w:rsid w:val="00E8087D"/>
    <w:rsid w:val="00E827D7"/>
    <w:rsid w:val="00E83BDF"/>
    <w:rsid w:val="00E84791"/>
    <w:rsid w:val="00E876EF"/>
    <w:rsid w:val="00E9376A"/>
    <w:rsid w:val="00E948BA"/>
    <w:rsid w:val="00E9595A"/>
    <w:rsid w:val="00E9712C"/>
    <w:rsid w:val="00EA3003"/>
    <w:rsid w:val="00EA3B88"/>
    <w:rsid w:val="00EA3D03"/>
    <w:rsid w:val="00EA543B"/>
    <w:rsid w:val="00EA648B"/>
    <w:rsid w:val="00EA6CCD"/>
    <w:rsid w:val="00EA7896"/>
    <w:rsid w:val="00EA7C74"/>
    <w:rsid w:val="00EB1336"/>
    <w:rsid w:val="00EB4C81"/>
    <w:rsid w:val="00EB7CA8"/>
    <w:rsid w:val="00EC1867"/>
    <w:rsid w:val="00EC2695"/>
    <w:rsid w:val="00EC3CE0"/>
    <w:rsid w:val="00EC4DB6"/>
    <w:rsid w:val="00EC5989"/>
    <w:rsid w:val="00EC5C1B"/>
    <w:rsid w:val="00ED0FDF"/>
    <w:rsid w:val="00ED39C9"/>
    <w:rsid w:val="00ED51A3"/>
    <w:rsid w:val="00ED51C9"/>
    <w:rsid w:val="00ED5304"/>
    <w:rsid w:val="00EE004B"/>
    <w:rsid w:val="00EE1B68"/>
    <w:rsid w:val="00EE4B6A"/>
    <w:rsid w:val="00EE5E78"/>
    <w:rsid w:val="00EE7236"/>
    <w:rsid w:val="00EE7887"/>
    <w:rsid w:val="00EF39FF"/>
    <w:rsid w:val="00EF3D5C"/>
    <w:rsid w:val="00EF6562"/>
    <w:rsid w:val="00F00127"/>
    <w:rsid w:val="00F03A9D"/>
    <w:rsid w:val="00F0508E"/>
    <w:rsid w:val="00F06C1A"/>
    <w:rsid w:val="00F075FC"/>
    <w:rsid w:val="00F12CA4"/>
    <w:rsid w:val="00F12D79"/>
    <w:rsid w:val="00F149A8"/>
    <w:rsid w:val="00F14C42"/>
    <w:rsid w:val="00F14D1D"/>
    <w:rsid w:val="00F17147"/>
    <w:rsid w:val="00F17FCF"/>
    <w:rsid w:val="00F22F99"/>
    <w:rsid w:val="00F25E8E"/>
    <w:rsid w:val="00F26271"/>
    <w:rsid w:val="00F30B2B"/>
    <w:rsid w:val="00F31DE4"/>
    <w:rsid w:val="00F335A6"/>
    <w:rsid w:val="00F355EC"/>
    <w:rsid w:val="00F35E5D"/>
    <w:rsid w:val="00F377D0"/>
    <w:rsid w:val="00F37B52"/>
    <w:rsid w:val="00F4090E"/>
    <w:rsid w:val="00F40D46"/>
    <w:rsid w:val="00F41512"/>
    <w:rsid w:val="00F41818"/>
    <w:rsid w:val="00F43F68"/>
    <w:rsid w:val="00F44560"/>
    <w:rsid w:val="00F4496A"/>
    <w:rsid w:val="00F4515A"/>
    <w:rsid w:val="00F45509"/>
    <w:rsid w:val="00F45E2D"/>
    <w:rsid w:val="00F50812"/>
    <w:rsid w:val="00F54905"/>
    <w:rsid w:val="00F567A5"/>
    <w:rsid w:val="00F57268"/>
    <w:rsid w:val="00F61056"/>
    <w:rsid w:val="00F6203E"/>
    <w:rsid w:val="00F65EC6"/>
    <w:rsid w:val="00F6726B"/>
    <w:rsid w:val="00F718EA"/>
    <w:rsid w:val="00F74924"/>
    <w:rsid w:val="00F8080A"/>
    <w:rsid w:val="00F80EB4"/>
    <w:rsid w:val="00F82468"/>
    <w:rsid w:val="00F825AB"/>
    <w:rsid w:val="00F826EF"/>
    <w:rsid w:val="00F83629"/>
    <w:rsid w:val="00F847F5"/>
    <w:rsid w:val="00F84E28"/>
    <w:rsid w:val="00F865AA"/>
    <w:rsid w:val="00F87493"/>
    <w:rsid w:val="00F9031C"/>
    <w:rsid w:val="00F90724"/>
    <w:rsid w:val="00F9118D"/>
    <w:rsid w:val="00F91D87"/>
    <w:rsid w:val="00F95E2B"/>
    <w:rsid w:val="00F968E1"/>
    <w:rsid w:val="00FA0A51"/>
    <w:rsid w:val="00FA2001"/>
    <w:rsid w:val="00FA6E58"/>
    <w:rsid w:val="00FB0CDD"/>
    <w:rsid w:val="00FB0D81"/>
    <w:rsid w:val="00FB1F32"/>
    <w:rsid w:val="00FB3088"/>
    <w:rsid w:val="00FB5A37"/>
    <w:rsid w:val="00FB7A34"/>
    <w:rsid w:val="00FC1128"/>
    <w:rsid w:val="00FC1C45"/>
    <w:rsid w:val="00FC3E3A"/>
    <w:rsid w:val="00FC465A"/>
    <w:rsid w:val="00FC4F41"/>
    <w:rsid w:val="00FC562B"/>
    <w:rsid w:val="00FC5B51"/>
    <w:rsid w:val="00FC754C"/>
    <w:rsid w:val="00FC7F93"/>
    <w:rsid w:val="00FD183E"/>
    <w:rsid w:val="00FD18A4"/>
    <w:rsid w:val="00FD1BB6"/>
    <w:rsid w:val="00FD651B"/>
    <w:rsid w:val="00FD6583"/>
    <w:rsid w:val="00FD7A84"/>
    <w:rsid w:val="00FE071D"/>
    <w:rsid w:val="00FE0871"/>
    <w:rsid w:val="00FE0A3A"/>
    <w:rsid w:val="00FE143F"/>
    <w:rsid w:val="00FE4920"/>
    <w:rsid w:val="00FE5C88"/>
    <w:rsid w:val="00FE6D58"/>
    <w:rsid w:val="00FE6F4F"/>
    <w:rsid w:val="00FE7389"/>
    <w:rsid w:val="00FF1BC2"/>
    <w:rsid w:val="00FF2793"/>
    <w:rsid w:val="00FF4373"/>
    <w:rsid w:val="00FF4B46"/>
    <w:rsid w:val="00FF63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0B"/>
    <w:pPr>
      <w:autoSpaceDE w:val="0"/>
      <w:autoSpaceDN w:val="0"/>
    </w:pPr>
    <w:rPr>
      <w:sz w:val="24"/>
      <w:szCs w:val="24"/>
      <w:lang w:eastAsia="en-US"/>
    </w:rPr>
  </w:style>
  <w:style w:type="paragraph" w:styleId="Heading1">
    <w:name w:val="heading 1"/>
    <w:basedOn w:val="Normal"/>
    <w:next w:val="Normal"/>
    <w:link w:val="Heading1Char"/>
    <w:uiPriority w:val="99"/>
    <w:qFormat/>
    <w:rsid w:val="00C7230B"/>
    <w:pPr>
      <w:keepNext/>
      <w:ind w:left="1080"/>
      <w:outlineLvl w:val="0"/>
    </w:pPr>
    <w:rPr>
      <w:b/>
      <w:bCs/>
      <w:sz w:val="28"/>
      <w:szCs w:val="28"/>
    </w:rPr>
  </w:style>
  <w:style w:type="paragraph" w:styleId="Heading2">
    <w:name w:val="heading 2"/>
    <w:basedOn w:val="Normal"/>
    <w:next w:val="Normal"/>
    <w:link w:val="Heading2Char"/>
    <w:uiPriority w:val="99"/>
    <w:qFormat/>
    <w:locked/>
    <w:rsid w:val="00FF63E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D8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F63E2"/>
    <w:rPr>
      <w:rFonts w:ascii="Cambria" w:eastAsia="SimSun" w:hAnsi="Cambria" w:cs="Times New Roman"/>
      <w:b/>
      <w:bCs/>
      <w:i/>
      <w:iCs/>
      <w:sz w:val="28"/>
      <w:szCs w:val="28"/>
      <w:lang w:eastAsia="en-US"/>
    </w:rPr>
  </w:style>
  <w:style w:type="paragraph" w:styleId="BodyTextIndent">
    <w:name w:val="Body Text Indent"/>
    <w:basedOn w:val="Normal"/>
    <w:link w:val="BodyTextIndentChar"/>
    <w:uiPriority w:val="99"/>
    <w:rsid w:val="00C7230B"/>
    <w:pPr>
      <w:jc w:val="center"/>
    </w:pPr>
    <w:rPr>
      <w:sz w:val="28"/>
      <w:szCs w:val="28"/>
    </w:rPr>
  </w:style>
  <w:style w:type="character" w:customStyle="1" w:styleId="BodyTextIndentChar">
    <w:name w:val="Body Text Indent Char"/>
    <w:basedOn w:val="DefaultParagraphFont"/>
    <w:link w:val="BodyTextIndent"/>
    <w:uiPriority w:val="99"/>
    <w:semiHidden/>
    <w:locked/>
    <w:rsid w:val="00FB0D81"/>
    <w:rPr>
      <w:rFonts w:cs="Times New Roman"/>
      <w:sz w:val="24"/>
      <w:szCs w:val="24"/>
    </w:rPr>
  </w:style>
  <w:style w:type="paragraph" w:styleId="BodyTextIndent2">
    <w:name w:val="Body Text Indent 2"/>
    <w:basedOn w:val="Normal"/>
    <w:link w:val="BodyTextIndent2Char"/>
    <w:uiPriority w:val="99"/>
    <w:rsid w:val="00C7230B"/>
    <w:pPr>
      <w:ind w:left="1080"/>
    </w:pPr>
    <w:rPr>
      <w:b/>
      <w:bCs/>
      <w:sz w:val="28"/>
      <w:szCs w:val="28"/>
    </w:rPr>
  </w:style>
  <w:style w:type="character" w:customStyle="1" w:styleId="BodyTextIndent2Char">
    <w:name w:val="Body Text Indent 2 Char"/>
    <w:basedOn w:val="DefaultParagraphFont"/>
    <w:link w:val="BodyTextIndent2"/>
    <w:uiPriority w:val="99"/>
    <w:semiHidden/>
    <w:locked/>
    <w:rsid w:val="00FB0D81"/>
    <w:rPr>
      <w:rFonts w:cs="Times New Roman"/>
      <w:sz w:val="24"/>
      <w:szCs w:val="24"/>
    </w:rPr>
  </w:style>
  <w:style w:type="paragraph" w:styleId="BodyTextIndent3">
    <w:name w:val="Body Text Indent 3"/>
    <w:basedOn w:val="Normal"/>
    <w:link w:val="BodyTextIndent3Char"/>
    <w:uiPriority w:val="99"/>
    <w:rsid w:val="00C7230B"/>
    <w:pPr>
      <w:ind w:left="1080" w:hanging="720"/>
    </w:pPr>
    <w:rPr>
      <w:b/>
      <w:bCs/>
      <w:sz w:val="28"/>
      <w:szCs w:val="28"/>
    </w:rPr>
  </w:style>
  <w:style w:type="character" w:customStyle="1" w:styleId="BodyTextIndent3Char">
    <w:name w:val="Body Text Indent 3 Char"/>
    <w:basedOn w:val="DefaultParagraphFont"/>
    <w:link w:val="BodyTextIndent3"/>
    <w:uiPriority w:val="99"/>
    <w:semiHidden/>
    <w:locked/>
    <w:rsid w:val="00FB0D81"/>
    <w:rPr>
      <w:rFonts w:cs="Times New Roman"/>
      <w:sz w:val="16"/>
      <w:szCs w:val="16"/>
    </w:rPr>
  </w:style>
  <w:style w:type="paragraph" w:styleId="BodyText">
    <w:name w:val="Body Text"/>
    <w:basedOn w:val="Normal"/>
    <w:link w:val="BodyTextChar"/>
    <w:rsid w:val="00C7230B"/>
    <w:rPr>
      <w:i/>
      <w:iCs/>
    </w:rPr>
  </w:style>
  <w:style w:type="character" w:customStyle="1" w:styleId="BodyTextChar">
    <w:name w:val="Body Text Char"/>
    <w:basedOn w:val="DefaultParagraphFont"/>
    <w:link w:val="BodyText"/>
    <w:uiPriority w:val="99"/>
    <w:semiHidden/>
    <w:locked/>
    <w:rsid w:val="00FB0D81"/>
    <w:rPr>
      <w:rFonts w:cs="Times New Roman"/>
      <w:sz w:val="24"/>
      <w:szCs w:val="24"/>
    </w:rPr>
  </w:style>
  <w:style w:type="paragraph" w:styleId="Footer">
    <w:name w:val="footer"/>
    <w:basedOn w:val="Normal"/>
    <w:link w:val="FooterChar"/>
    <w:uiPriority w:val="99"/>
    <w:rsid w:val="00C7230B"/>
    <w:pPr>
      <w:tabs>
        <w:tab w:val="center" w:pos="4320"/>
        <w:tab w:val="right" w:pos="8640"/>
      </w:tabs>
    </w:pPr>
  </w:style>
  <w:style w:type="character" w:customStyle="1" w:styleId="FooterChar">
    <w:name w:val="Footer Char"/>
    <w:basedOn w:val="DefaultParagraphFont"/>
    <w:link w:val="Footer"/>
    <w:uiPriority w:val="99"/>
    <w:semiHidden/>
    <w:locked/>
    <w:rsid w:val="00FB0D81"/>
    <w:rPr>
      <w:rFonts w:cs="Times New Roman"/>
      <w:sz w:val="24"/>
      <w:szCs w:val="24"/>
    </w:rPr>
  </w:style>
  <w:style w:type="character" w:styleId="PageNumber">
    <w:name w:val="page number"/>
    <w:basedOn w:val="DefaultParagraphFont"/>
    <w:uiPriority w:val="99"/>
    <w:rsid w:val="00C7230B"/>
    <w:rPr>
      <w:rFonts w:cs="Times New Roman"/>
    </w:rPr>
  </w:style>
  <w:style w:type="paragraph" w:styleId="Header">
    <w:name w:val="header"/>
    <w:basedOn w:val="Normal"/>
    <w:link w:val="HeaderChar"/>
    <w:uiPriority w:val="99"/>
    <w:rsid w:val="00C7230B"/>
    <w:pPr>
      <w:tabs>
        <w:tab w:val="center" w:pos="4320"/>
        <w:tab w:val="right" w:pos="8640"/>
      </w:tabs>
    </w:pPr>
  </w:style>
  <w:style w:type="character" w:customStyle="1" w:styleId="HeaderChar">
    <w:name w:val="Header Char"/>
    <w:basedOn w:val="DefaultParagraphFont"/>
    <w:link w:val="Header"/>
    <w:uiPriority w:val="99"/>
    <w:semiHidden/>
    <w:locked/>
    <w:rsid w:val="00FB0D81"/>
    <w:rPr>
      <w:rFonts w:cs="Times New Roman"/>
      <w:sz w:val="24"/>
      <w:szCs w:val="24"/>
    </w:rPr>
  </w:style>
  <w:style w:type="paragraph" w:styleId="BodyText3">
    <w:name w:val="Body Text 3"/>
    <w:basedOn w:val="Normal"/>
    <w:link w:val="BodyText3Char"/>
    <w:uiPriority w:val="99"/>
    <w:rsid w:val="00C7230B"/>
    <w:pPr>
      <w:jc w:val="both"/>
    </w:pPr>
    <w:rPr>
      <w:b/>
      <w:bCs/>
      <w:sz w:val="22"/>
      <w:szCs w:val="22"/>
    </w:rPr>
  </w:style>
  <w:style w:type="character" w:customStyle="1" w:styleId="BodyText3Char">
    <w:name w:val="Body Text 3 Char"/>
    <w:basedOn w:val="DefaultParagraphFont"/>
    <w:link w:val="BodyText3"/>
    <w:uiPriority w:val="99"/>
    <w:semiHidden/>
    <w:locked/>
    <w:rsid w:val="00FB0D81"/>
    <w:rPr>
      <w:rFonts w:cs="Times New Roman"/>
      <w:sz w:val="16"/>
      <w:szCs w:val="16"/>
    </w:rPr>
  </w:style>
  <w:style w:type="paragraph" w:styleId="BalloonText">
    <w:name w:val="Balloon Text"/>
    <w:basedOn w:val="Normal"/>
    <w:link w:val="BalloonTextChar"/>
    <w:uiPriority w:val="99"/>
    <w:semiHidden/>
    <w:rsid w:val="002C16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D81"/>
    <w:rPr>
      <w:rFonts w:cs="Times New Roman"/>
      <w:sz w:val="2"/>
    </w:rPr>
  </w:style>
  <w:style w:type="table" w:styleId="TableGrid">
    <w:name w:val="Table Grid"/>
    <w:basedOn w:val="TableNormal"/>
    <w:uiPriority w:val="99"/>
    <w:locked/>
    <w:rsid w:val="00E30D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locked/>
    <w:rsid w:val="0084005C"/>
    <w:rPr>
      <w:rFonts w:cs="Times New Roman"/>
      <w:i/>
      <w:iCs/>
    </w:rPr>
  </w:style>
  <w:style w:type="paragraph" w:styleId="DocumentMap">
    <w:name w:val="Document Map"/>
    <w:basedOn w:val="Normal"/>
    <w:link w:val="DocumentMapChar"/>
    <w:uiPriority w:val="99"/>
    <w:rsid w:val="0084005C"/>
    <w:rPr>
      <w:rFonts w:ascii="Tahoma" w:hAnsi="Tahoma" w:cs="Tahoma"/>
      <w:sz w:val="16"/>
      <w:szCs w:val="16"/>
    </w:rPr>
  </w:style>
  <w:style w:type="character" w:customStyle="1" w:styleId="DocumentMapChar">
    <w:name w:val="Document Map Char"/>
    <w:basedOn w:val="DefaultParagraphFont"/>
    <w:link w:val="DocumentMap"/>
    <w:uiPriority w:val="99"/>
    <w:locked/>
    <w:rsid w:val="0084005C"/>
    <w:rPr>
      <w:rFonts w:ascii="Tahoma" w:hAnsi="Tahoma" w:cs="Tahoma"/>
      <w:sz w:val="16"/>
      <w:szCs w:val="16"/>
      <w:lang w:eastAsia="en-US"/>
    </w:rPr>
  </w:style>
  <w:style w:type="paragraph" w:styleId="ListParagraph">
    <w:name w:val="List Paragraph"/>
    <w:basedOn w:val="Normal"/>
    <w:uiPriority w:val="99"/>
    <w:qFormat/>
    <w:rsid w:val="00904C64"/>
    <w:pPr>
      <w:ind w:left="720"/>
      <w:contextualSpacing/>
    </w:pPr>
  </w:style>
  <w:style w:type="paragraph" w:customStyle="1" w:styleId="Default">
    <w:name w:val="Default"/>
    <w:rsid w:val="00781B22"/>
    <w:pPr>
      <w:autoSpaceDE w:val="0"/>
      <w:autoSpaceDN w:val="0"/>
      <w:adjustRightInd w:val="0"/>
    </w:pPr>
    <w:rPr>
      <w:rFonts w:ascii="Arial" w:hAnsi="Arial" w:cs="Arial"/>
      <w:color w:val="000000"/>
      <w:sz w:val="24"/>
      <w:szCs w:val="24"/>
      <w:lang w:val="ms-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0B"/>
    <w:pPr>
      <w:autoSpaceDE w:val="0"/>
      <w:autoSpaceDN w:val="0"/>
    </w:pPr>
    <w:rPr>
      <w:sz w:val="24"/>
      <w:szCs w:val="24"/>
      <w:lang w:eastAsia="en-US"/>
    </w:rPr>
  </w:style>
  <w:style w:type="paragraph" w:styleId="Heading1">
    <w:name w:val="heading 1"/>
    <w:basedOn w:val="Normal"/>
    <w:next w:val="Normal"/>
    <w:link w:val="Heading1Char"/>
    <w:uiPriority w:val="99"/>
    <w:qFormat/>
    <w:rsid w:val="00C7230B"/>
    <w:pPr>
      <w:keepNext/>
      <w:ind w:left="1080"/>
      <w:outlineLvl w:val="0"/>
    </w:pPr>
    <w:rPr>
      <w:b/>
      <w:bCs/>
      <w:sz w:val="28"/>
      <w:szCs w:val="28"/>
    </w:rPr>
  </w:style>
  <w:style w:type="paragraph" w:styleId="Heading2">
    <w:name w:val="heading 2"/>
    <w:basedOn w:val="Normal"/>
    <w:next w:val="Normal"/>
    <w:link w:val="Heading2Char"/>
    <w:uiPriority w:val="99"/>
    <w:qFormat/>
    <w:locked/>
    <w:rsid w:val="00FF63E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D8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F63E2"/>
    <w:rPr>
      <w:rFonts w:ascii="Cambria" w:eastAsia="SimSun" w:hAnsi="Cambria" w:cs="Times New Roman"/>
      <w:b/>
      <w:bCs/>
      <w:i/>
      <w:iCs/>
      <w:sz w:val="28"/>
      <w:szCs w:val="28"/>
      <w:lang w:eastAsia="en-US"/>
    </w:rPr>
  </w:style>
  <w:style w:type="paragraph" w:styleId="BodyTextIndent">
    <w:name w:val="Body Text Indent"/>
    <w:basedOn w:val="Normal"/>
    <w:link w:val="BodyTextIndentChar"/>
    <w:uiPriority w:val="99"/>
    <w:rsid w:val="00C7230B"/>
    <w:pPr>
      <w:jc w:val="center"/>
    </w:pPr>
    <w:rPr>
      <w:sz w:val="28"/>
      <w:szCs w:val="28"/>
    </w:rPr>
  </w:style>
  <w:style w:type="character" w:customStyle="1" w:styleId="BodyTextIndentChar">
    <w:name w:val="Body Text Indent Char"/>
    <w:basedOn w:val="DefaultParagraphFont"/>
    <w:link w:val="BodyTextIndent"/>
    <w:uiPriority w:val="99"/>
    <w:semiHidden/>
    <w:locked/>
    <w:rsid w:val="00FB0D81"/>
    <w:rPr>
      <w:rFonts w:cs="Times New Roman"/>
      <w:sz w:val="24"/>
      <w:szCs w:val="24"/>
    </w:rPr>
  </w:style>
  <w:style w:type="paragraph" w:styleId="BodyTextIndent2">
    <w:name w:val="Body Text Indent 2"/>
    <w:basedOn w:val="Normal"/>
    <w:link w:val="BodyTextIndent2Char"/>
    <w:uiPriority w:val="99"/>
    <w:rsid w:val="00C7230B"/>
    <w:pPr>
      <w:ind w:left="1080"/>
    </w:pPr>
    <w:rPr>
      <w:b/>
      <w:bCs/>
      <w:sz w:val="28"/>
      <w:szCs w:val="28"/>
    </w:rPr>
  </w:style>
  <w:style w:type="character" w:customStyle="1" w:styleId="BodyTextIndent2Char">
    <w:name w:val="Body Text Indent 2 Char"/>
    <w:basedOn w:val="DefaultParagraphFont"/>
    <w:link w:val="BodyTextIndent2"/>
    <w:uiPriority w:val="99"/>
    <w:semiHidden/>
    <w:locked/>
    <w:rsid w:val="00FB0D81"/>
    <w:rPr>
      <w:rFonts w:cs="Times New Roman"/>
      <w:sz w:val="24"/>
      <w:szCs w:val="24"/>
    </w:rPr>
  </w:style>
  <w:style w:type="paragraph" w:styleId="BodyTextIndent3">
    <w:name w:val="Body Text Indent 3"/>
    <w:basedOn w:val="Normal"/>
    <w:link w:val="BodyTextIndent3Char"/>
    <w:uiPriority w:val="99"/>
    <w:rsid w:val="00C7230B"/>
    <w:pPr>
      <w:ind w:left="1080" w:hanging="720"/>
    </w:pPr>
    <w:rPr>
      <w:b/>
      <w:bCs/>
      <w:sz w:val="28"/>
      <w:szCs w:val="28"/>
    </w:rPr>
  </w:style>
  <w:style w:type="character" w:customStyle="1" w:styleId="BodyTextIndent3Char">
    <w:name w:val="Body Text Indent 3 Char"/>
    <w:basedOn w:val="DefaultParagraphFont"/>
    <w:link w:val="BodyTextIndent3"/>
    <w:uiPriority w:val="99"/>
    <w:semiHidden/>
    <w:locked/>
    <w:rsid w:val="00FB0D81"/>
    <w:rPr>
      <w:rFonts w:cs="Times New Roman"/>
      <w:sz w:val="16"/>
      <w:szCs w:val="16"/>
    </w:rPr>
  </w:style>
  <w:style w:type="paragraph" w:styleId="BodyText">
    <w:name w:val="Body Text"/>
    <w:basedOn w:val="Normal"/>
    <w:link w:val="BodyTextChar"/>
    <w:rsid w:val="00C7230B"/>
    <w:rPr>
      <w:i/>
      <w:iCs/>
    </w:rPr>
  </w:style>
  <w:style w:type="character" w:customStyle="1" w:styleId="BodyTextChar">
    <w:name w:val="Body Text Char"/>
    <w:basedOn w:val="DefaultParagraphFont"/>
    <w:link w:val="BodyText"/>
    <w:uiPriority w:val="99"/>
    <w:semiHidden/>
    <w:locked/>
    <w:rsid w:val="00FB0D81"/>
    <w:rPr>
      <w:rFonts w:cs="Times New Roman"/>
      <w:sz w:val="24"/>
      <w:szCs w:val="24"/>
    </w:rPr>
  </w:style>
  <w:style w:type="paragraph" w:styleId="Footer">
    <w:name w:val="footer"/>
    <w:basedOn w:val="Normal"/>
    <w:link w:val="FooterChar"/>
    <w:uiPriority w:val="99"/>
    <w:rsid w:val="00C7230B"/>
    <w:pPr>
      <w:tabs>
        <w:tab w:val="center" w:pos="4320"/>
        <w:tab w:val="right" w:pos="8640"/>
      </w:tabs>
    </w:pPr>
  </w:style>
  <w:style w:type="character" w:customStyle="1" w:styleId="FooterChar">
    <w:name w:val="Footer Char"/>
    <w:basedOn w:val="DefaultParagraphFont"/>
    <w:link w:val="Footer"/>
    <w:uiPriority w:val="99"/>
    <w:semiHidden/>
    <w:locked/>
    <w:rsid w:val="00FB0D81"/>
    <w:rPr>
      <w:rFonts w:cs="Times New Roman"/>
      <w:sz w:val="24"/>
      <w:szCs w:val="24"/>
    </w:rPr>
  </w:style>
  <w:style w:type="character" w:styleId="PageNumber">
    <w:name w:val="page number"/>
    <w:basedOn w:val="DefaultParagraphFont"/>
    <w:uiPriority w:val="99"/>
    <w:rsid w:val="00C7230B"/>
    <w:rPr>
      <w:rFonts w:cs="Times New Roman"/>
    </w:rPr>
  </w:style>
  <w:style w:type="paragraph" w:styleId="Header">
    <w:name w:val="header"/>
    <w:basedOn w:val="Normal"/>
    <w:link w:val="HeaderChar"/>
    <w:uiPriority w:val="99"/>
    <w:rsid w:val="00C7230B"/>
    <w:pPr>
      <w:tabs>
        <w:tab w:val="center" w:pos="4320"/>
        <w:tab w:val="right" w:pos="8640"/>
      </w:tabs>
    </w:pPr>
  </w:style>
  <w:style w:type="character" w:customStyle="1" w:styleId="HeaderChar">
    <w:name w:val="Header Char"/>
    <w:basedOn w:val="DefaultParagraphFont"/>
    <w:link w:val="Header"/>
    <w:uiPriority w:val="99"/>
    <w:semiHidden/>
    <w:locked/>
    <w:rsid w:val="00FB0D81"/>
    <w:rPr>
      <w:rFonts w:cs="Times New Roman"/>
      <w:sz w:val="24"/>
      <w:szCs w:val="24"/>
    </w:rPr>
  </w:style>
  <w:style w:type="paragraph" w:styleId="BodyText3">
    <w:name w:val="Body Text 3"/>
    <w:basedOn w:val="Normal"/>
    <w:link w:val="BodyText3Char"/>
    <w:uiPriority w:val="99"/>
    <w:rsid w:val="00C7230B"/>
    <w:pPr>
      <w:jc w:val="both"/>
    </w:pPr>
    <w:rPr>
      <w:b/>
      <w:bCs/>
      <w:sz w:val="22"/>
      <w:szCs w:val="22"/>
    </w:rPr>
  </w:style>
  <w:style w:type="character" w:customStyle="1" w:styleId="BodyText3Char">
    <w:name w:val="Body Text 3 Char"/>
    <w:basedOn w:val="DefaultParagraphFont"/>
    <w:link w:val="BodyText3"/>
    <w:uiPriority w:val="99"/>
    <w:semiHidden/>
    <w:locked/>
    <w:rsid w:val="00FB0D81"/>
    <w:rPr>
      <w:rFonts w:cs="Times New Roman"/>
      <w:sz w:val="16"/>
      <w:szCs w:val="16"/>
    </w:rPr>
  </w:style>
  <w:style w:type="paragraph" w:styleId="BalloonText">
    <w:name w:val="Balloon Text"/>
    <w:basedOn w:val="Normal"/>
    <w:link w:val="BalloonTextChar"/>
    <w:uiPriority w:val="99"/>
    <w:semiHidden/>
    <w:rsid w:val="002C16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D81"/>
    <w:rPr>
      <w:rFonts w:cs="Times New Roman"/>
      <w:sz w:val="2"/>
    </w:rPr>
  </w:style>
  <w:style w:type="table" w:styleId="TableGrid">
    <w:name w:val="Table Grid"/>
    <w:basedOn w:val="TableNormal"/>
    <w:uiPriority w:val="99"/>
    <w:locked/>
    <w:rsid w:val="00E30D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locked/>
    <w:rsid w:val="0084005C"/>
    <w:rPr>
      <w:rFonts w:cs="Times New Roman"/>
      <w:i/>
      <w:iCs/>
    </w:rPr>
  </w:style>
  <w:style w:type="paragraph" w:styleId="DocumentMap">
    <w:name w:val="Document Map"/>
    <w:basedOn w:val="Normal"/>
    <w:link w:val="DocumentMapChar"/>
    <w:uiPriority w:val="99"/>
    <w:rsid w:val="0084005C"/>
    <w:rPr>
      <w:rFonts w:ascii="Tahoma" w:hAnsi="Tahoma" w:cs="Tahoma"/>
      <w:sz w:val="16"/>
      <w:szCs w:val="16"/>
    </w:rPr>
  </w:style>
  <w:style w:type="character" w:customStyle="1" w:styleId="DocumentMapChar">
    <w:name w:val="Document Map Char"/>
    <w:basedOn w:val="DefaultParagraphFont"/>
    <w:link w:val="DocumentMap"/>
    <w:uiPriority w:val="99"/>
    <w:locked/>
    <w:rsid w:val="0084005C"/>
    <w:rPr>
      <w:rFonts w:ascii="Tahoma" w:hAnsi="Tahoma" w:cs="Tahoma"/>
      <w:sz w:val="16"/>
      <w:szCs w:val="16"/>
      <w:lang w:eastAsia="en-US"/>
    </w:rPr>
  </w:style>
  <w:style w:type="paragraph" w:styleId="ListParagraph">
    <w:name w:val="List Paragraph"/>
    <w:basedOn w:val="Normal"/>
    <w:uiPriority w:val="99"/>
    <w:qFormat/>
    <w:rsid w:val="00904C64"/>
    <w:pPr>
      <w:ind w:left="720"/>
      <w:contextualSpacing/>
    </w:pPr>
  </w:style>
  <w:style w:type="paragraph" w:customStyle="1" w:styleId="Default">
    <w:name w:val="Default"/>
    <w:rsid w:val="00781B22"/>
    <w:pPr>
      <w:autoSpaceDE w:val="0"/>
      <w:autoSpaceDN w:val="0"/>
      <w:adjustRightInd w:val="0"/>
    </w:pPr>
    <w:rPr>
      <w:rFonts w:ascii="Arial" w:hAnsi="Arial" w:cs="Arial"/>
      <w:color w:val="000000"/>
      <w:sz w:val="2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029325">
      <w:marLeft w:val="0"/>
      <w:marRight w:val="0"/>
      <w:marTop w:val="0"/>
      <w:marBottom w:val="0"/>
      <w:divBdr>
        <w:top w:val="none" w:sz="0" w:space="0" w:color="auto"/>
        <w:left w:val="none" w:sz="0" w:space="0" w:color="auto"/>
        <w:bottom w:val="none" w:sz="0" w:space="0" w:color="auto"/>
        <w:right w:val="none" w:sz="0" w:space="0" w:color="auto"/>
      </w:divBdr>
    </w:div>
    <w:div w:id="690029326">
      <w:marLeft w:val="0"/>
      <w:marRight w:val="0"/>
      <w:marTop w:val="0"/>
      <w:marBottom w:val="0"/>
      <w:divBdr>
        <w:top w:val="none" w:sz="0" w:space="0" w:color="auto"/>
        <w:left w:val="none" w:sz="0" w:space="0" w:color="auto"/>
        <w:bottom w:val="none" w:sz="0" w:space="0" w:color="auto"/>
        <w:right w:val="none" w:sz="0" w:space="0" w:color="auto"/>
      </w:divBdr>
    </w:div>
    <w:div w:id="690029327">
      <w:marLeft w:val="0"/>
      <w:marRight w:val="0"/>
      <w:marTop w:val="0"/>
      <w:marBottom w:val="0"/>
      <w:divBdr>
        <w:top w:val="none" w:sz="0" w:space="0" w:color="auto"/>
        <w:left w:val="none" w:sz="0" w:space="0" w:color="auto"/>
        <w:bottom w:val="none" w:sz="0" w:space="0" w:color="auto"/>
        <w:right w:val="none" w:sz="0" w:space="0" w:color="auto"/>
      </w:divBdr>
    </w:div>
    <w:div w:id="690029328">
      <w:marLeft w:val="0"/>
      <w:marRight w:val="0"/>
      <w:marTop w:val="0"/>
      <w:marBottom w:val="0"/>
      <w:divBdr>
        <w:top w:val="none" w:sz="0" w:space="0" w:color="auto"/>
        <w:left w:val="none" w:sz="0" w:space="0" w:color="auto"/>
        <w:bottom w:val="none" w:sz="0" w:space="0" w:color="auto"/>
        <w:right w:val="none" w:sz="0" w:space="0" w:color="auto"/>
      </w:divBdr>
    </w:div>
    <w:div w:id="82424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3.xls"/><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4.xls"/><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2.xls"/><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Ornasteel Enterprise Corporation (M) Sdn.Bhd.</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Ornasteel</dc:creator>
  <cp:lastModifiedBy>Jesslyn Lam</cp:lastModifiedBy>
  <cp:revision>4</cp:revision>
  <cp:lastPrinted>2012-04-20T08:57:00Z</cp:lastPrinted>
  <dcterms:created xsi:type="dcterms:W3CDTF">2012-08-17T04:18:00Z</dcterms:created>
  <dcterms:modified xsi:type="dcterms:W3CDTF">2012-08-17T04:26:00Z</dcterms:modified>
</cp:coreProperties>
</file>