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19" w:rsidRPr="00C76550" w:rsidRDefault="00CF0B19" w:rsidP="00B06737">
      <w:pPr>
        <w:jc w:val="both"/>
        <w:rPr>
          <w:b/>
          <w:bCs/>
          <w:sz w:val="22"/>
          <w:szCs w:val="22"/>
        </w:rPr>
      </w:pPr>
      <w:r w:rsidRPr="00C76550">
        <w:rPr>
          <w:b/>
          <w:bCs/>
          <w:sz w:val="22"/>
          <w:szCs w:val="22"/>
        </w:rPr>
        <w:t>PART A: EXPLANATORY NOTES AS PER FRS 134</w:t>
      </w:r>
    </w:p>
    <w:p w:rsidR="00CF0B19" w:rsidRPr="00C76550" w:rsidRDefault="00CF0B19" w:rsidP="0084005C">
      <w:pPr>
        <w:jc w:val="both"/>
        <w:rPr>
          <w:b/>
          <w:bCs/>
          <w:sz w:val="22"/>
          <w:szCs w:val="22"/>
        </w:rPr>
      </w:pPr>
    </w:p>
    <w:p w:rsidR="00CF0B19" w:rsidRPr="00C76550" w:rsidRDefault="00CF0B19" w:rsidP="008A18FC">
      <w:pPr>
        <w:ind w:left="360"/>
        <w:jc w:val="both"/>
        <w:rPr>
          <w:b/>
          <w:bCs/>
          <w:sz w:val="22"/>
          <w:szCs w:val="22"/>
        </w:rPr>
      </w:pPr>
    </w:p>
    <w:p w:rsidR="00CF0B19" w:rsidRPr="00C76550" w:rsidRDefault="00CF0B19" w:rsidP="008A18FC">
      <w:pPr>
        <w:numPr>
          <w:ilvl w:val="0"/>
          <w:numId w:val="1"/>
        </w:numPr>
        <w:jc w:val="both"/>
        <w:rPr>
          <w:b/>
          <w:bCs/>
          <w:sz w:val="22"/>
          <w:szCs w:val="22"/>
        </w:rPr>
      </w:pPr>
      <w:r w:rsidRPr="00C76550">
        <w:rPr>
          <w:b/>
          <w:bCs/>
          <w:sz w:val="22"/>
          <w:szCs w:val="22"/>
        </w:rPr>
        <w:t xml:space="preserve">Basis of preparation </w:t>
      </w:r>
    </w:p>
    <w:p w:rsidR="00CF0B19" w:rsidRPr="00C76550" w:rsidRDefault="00CF0B19" w:rsidP="008A18FC">
      <w:pPr>
        <w:pStyle w:val="BodyTextIndent"/>
        <w:ind w:left="1080"/>
        <w:jc w:val="both"/>
        <w:rPr>
          <w:sz w:val="22"/>
          <w:szCs w:val="22"/>
        </w:rPr>
      </w:pPr>
    </w:p>
    <w:p w:rsidR="00CF0B19" w:rsidRPr="00C76550" w:rsidRDefault="00CF0B19" w:rsidP="008A18FC">
      <w:pPr>
        <w:pStyle w:val="BodyTextIndent"/>
        <w:ind w:left="1080"/>
        <w:jc w:val="both"/>
        <w:rPr>
          <w:sz w:val="22"/>
          <w:szCs w:val="22"/>
        </w:rPr>
      </w:pPr>
      <w:r w:rsidRPr="00C76550">
        <w:rPr>
          <w:sz w:val="22"/>
          <w:szCs w:val="22"/>
        </w:rPr>
        <w:t xml:space="preserve">The interim financial statements are unaudited and have been prepared in accordance with the requirements of FRS 134: Interim Financial Reporting and Paragraph 9.22 and Part A of Appendix 9B of the Listing Requirements of Bursa Malaysia Securities Berhad ("Bursa Securities"). </w:t>
      </w:r>
    </w:p>
    <w:p w:rsidR="00CF0B19" w:rsidRPr="00C76550" w:rsidRDefault="00CF0B19" w:rsidP="008A18FC">
      <w:pPr>
        <w:pStyle w:val="BodyTextIndent"/>
        <w:ind w:left="1080"/>
        <w:jc w:val="both"/>
        <w:rPr>
          <w:sz w:val="22"/>
          <w:szCs w:val="22"/>
        </w:rPr>
      </w:pPr>
    </w:p>
    <w:p w:rsidR="00CF0B19" w:rsidRPr="00C76550" w:rsidRDefault="00CF0B19" w:rsidP="008A18FC">
      <w:pPr>
        <w:pStyle w:val="BodyTextIndent"/>
        <w:ind w:left="1080"/>
        <w:jc w:val="both"/>
        <w:rPr>
          <w:sz w:val="22"/>
          <w:szCs w:val="22"/>
        </w:rPr>
      </w:pPr>
      <w:r w:rsidRPr="00C76550">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2009. The explanatory notes attached to the interim financial statements provide an explanation of events and transactions that are significant to an understanding of the changes in the financial position and performance of the Group.</w:t>
      </w:r>
    </w:p>
    <w:p w:rsidR="00CF0B19" w:rsidRPr="00C76550" w:rsidRDefault="00CF0B19" w:rsidP="008A18FC">
      <w:pPr>
        <w:pStyle w:val="BodyTextIndent"/>
        <w:ind w:left="1080"/>
        <w:jc w:val="both"/>
        <w:rPr>
          <w:sz w:val="22"/>
          <w:szCs w:val="22"/>
        </w:rPr>
      </w:pPr>
    </w:p>
    <w:p w:rsidR="00CF0B19" w:rsidRPr="00C76550" w:rsidRDefault="00CF0B19" w:rsidP="002F35A3">
      <w:pPr>
        <w:pStyle w:val="BodyTextIndent"/>
        <w:ind w:left="1080"/>
        <w:jc w:val="both"/>
        <w:rPr>
          <w:sz w:val="22"/>
          <w:szCs w:val="22"/>
        </w:rPr>
      </w:pPr>
      <w:r w:rsidRPr="00C76550">
        <w:rPr>
          <w:sz w:val="22"/>
          <w:szCs w:val="22"/>
        </w:rPr>
        <w:t xml:space="preserve">The accounting principles and bases used are consistent with those previously adopted in the preparation of the financial statements of CSC Steel Holdings Berhad (“CHB”), and its subsidiary companies (“Group”). </w:t>
      </w:r>
    </w:p>
    <w:p w:rsidR="00CF0B19" w:rsidRPr="00C76550" w:rsidRDefault="00CF0B19" w:rsidP="002F35A3">
      <w:pPr>
        <w:pStyle w:val="BodyTextIndent"/>
        <w:ind w:left="1080"/>
        <w:jc w:val="both"/>
        <w:rPr>
          <w:sz w:val="22"/>
          <w:szCs w:val="22"/>
        </w:rPr>
      </w:pPr>
    </w:p>
    <w:p w:rsidR="00CF0B19" w:rsidRPr="00C76550" w:rsidRDefault="00CF0B19" w:rsidP="00536772">
      <w:pPr>
        <w:pStyle w:val="BodyTextIndent"/>
        <w:ind w:left="1080"/>
        <w:jc w:val="both"/>
        <w:rPr>
          <w:sz w:val="22"/>
          <w:szCs w:val="22"/>
        </w:rPr>
      </w:pPr>
      <w:r w:rsidRPr="00C76550">
        <w:rPr>
          <w:sz w:val="22"/>
          <w:szCs w:val="22"/>
        </w:rPr>
        <w:t>The accounting principles and bases used are consistent with those previously adopted in the preparation of the financial statements of CHB and its subsidiary companies except for the adoption of the following applicable new/revised Financial Reporting Standards (“FRS”) and IC Interpretation effective for financial year beginning 1 January 2010:</w:t>
      </w:r>
    </w:p>
    <w:p w:rsidR="00CF0B19" w:rsidRPr="00C76550" w:rsidRDefault="00CF0B19" w:rsidP="00536772">
      <w:pPr>
        <w:ind w:left="720" w:firstLine="360"/>
        <w:rPr>
          <w:sz w:val="22"/>
          <w:szCs w:val="22"/>
        </w:rPr>
      </w:pPr>
    </w:p>
    <w:p w:rsidR="00CF0B19" w:rsidRPr="00C76550" w:rsidRDefault="00CF0B19" w:rsidP="00E16696">
      <w:pPr>
        <w:ind w:left="1260" w:hanging="180"/>
        <w:rPr>
          <w:sz w:val="22"/>
          <w:szCs w:val="22"/>
        </w:rPr>
      </w:pPr>
      <w:r w:rsidRPr="00C76550">
        <w:rPr>
          <w:sz w:val="22"/>
          <w:szCs w:val="22"/>
        </w:rPr>
        <w:t>FRS 7, Financial Instruments: Disclosures.</w:t>
      </w:r>
    </w:p>
    <w:p w:rsidR="00CF0B19" w:rsidRPr="00C76550" w:rsidRDefault="00CF0B19" w:rsidP="00E16696">
      <w:pPr>
        <w:ind w:left="1260" w:hanging="180"/>
        <w:rPr>
          <w:sz w:val="22"/>
          <w:szCs w:val="22"/>
        </w:rPr>
      </w:pPr>
      <w:r w:rsidRPr="00C76550">
        <w:rPr>
          <w:sz w:val="22"/>
          <w:szCs w:val="22"/>
        </w:rPr>
        <w:t>FRS 8, Operating Segments.</w:t>
      </w:r>
    </w:p>
    <w:p w:rsidR="00CF0B19" w:rsidRPr="00C76550" w:rsidRDefault="00CF0B19" w:rsidP="00E16696">
      <w:pPr>
        <w:ind w:left="1260" w:hanging="180"/>
        <w:rPr>
          <w:sz w:val="22"/>
          <w:szCs w:val="22"/>
        </w:rPr>
      </w:pPr>
      <w:r w:rsidRPr="00C76550">
        <w:rPr>
          <w:sz w:val="22"/>
          <w:szCs w:val="22"/>
        </w:rPr>
        <w:t>FRS 101(revised), Presentation of Financial Statements.</w:t>
      </w:r>
    </w:p>
    <w:p w:rsidR="00CF0B19" w:rsidRPr="00C76550" w:rsidRDefault="00CF0B19" w:rsidP="00E16696">
      <w:pPr>
        <w:ind w:left="1260" w:hanging="180"/>
        <w:rPr>
          <w:sz w:val="22"/>
          <w:szCs w:val="22"/>
        </w:rPr>
      </w:pPr>
      <w:r w:rsidRPr="00C76550">
        <w:rPr>
          <w:sz w:val="22"/>
          <w:szCs w:val="22"/>
        </w:rPr>
        <w:t>FRS 123(revised), Borrowing Costs.</w:t>
      </w:r>
    </w:p>
    <w:p w:rsidR="00CF0B19" w:rsidRPr="00C76550" w:rsidRDefault="00CF0B19" w:rsidP="00E16696">
      <w:pPr>
        <w:ind w:left="1260" w:hanging="180"/>
        <w:rPr>
          <w:sz w:val="22"/>
          <w:szCs w:val="22"/>
        </w:rPr>
      </w:pPr>
      <w:r w:rsidRPr="00C76550">
        <w:rPr>
          <w:sz w:val="22"/>
          <w:szCs w:val="22"/>
        </w:rPr>
        <w:t>FRS 132(revised), Financial Instruments: Presentation.</w:t>
      </w:r>
    </w:p>
    <w:p w:rsidR="00CF0B19" w:rsidRPr="00C76550" w:rsidRDefault="00CF0B19" w:rsidP="00E16696">
      <w:pPr>
        <w:ind w:left="1260" w:hanging="180"/>
        <w:rPr>
          <w:sz w:val="22"/>
          <w:szCs w:val="22"/>
        </w:rPr>
      </w:pPr>
      <w:r w:rsidRPr="00C76550">
        <w:rPr>
          <w:sz w:val="22"/>
          <w:szCs w:val="22"/>
        </w:rPr>
        <w:t>IC Interpretation 9, Reassessment of Embedded Derivatives.</w:t>
      </w:r>
    </w:p>
    <w:p w:rsidR="00CF0B19" w:rsidRPr="00C76550" w:rsidRDefault="00CF0B19" w:rsidP="00E16696">
      <w:pPr>
        <w:ind w:left="1260" w:hanging="180"/>
        <w:rPr>
          <w:sz w:val="22"/>
          <w:szCs w:val="22"/>
        </w:rPr>
      </w:pPr>
      <w:r w:rsidRPr="00C76550">
        <w:rPr>
          <w:sz w:val="22"/>
          <w:szCs w:val="22"/>
        </w:rPr>
        <w:t>IC Interpretation 10, Impairment and Interim Financial Reporting.</w:t>
      </w:r>
    </w:p>
    <w:p w:rsidR="00CF0B19" w:rsidRPr="00C76550" w:rsidRDefault="00CF0B19" w:rsidP="00E16696">
      <w:pPr>
        <w:ind w:left="1260" w:hanging="180"/>
        <w:rPr>
          <w:sz w:val="22"/>
          <w:szCs w:val="22"/>
        </w:rPr>
      </w:pPr>
      <w:r w:rsidRPr="00C76550">
        <w:rPr>
          <w:sz w:val="22"/>
          <w:szCs w:val="22"/>
        </w:rPr>
        <w:t>IC Interpretation 11, FRS 2, Group and Treasury Share Transactions.</w:t>
      </w:r>
    </w:p>
    <w:p w:rsidR="00CF0B19" w:rsidRPr="00C76550" w:rsidRDefault="00CF0B19" w:rsidP="00E16696">
      <w:pPr>
        <w:ind w:left="1260" w:hanging="180"/>
        <w:rPr>
          <w:sz w:val="22"/>
          <w:szCs w:val="22"/>
        </w:rPr>
      </w:pPr>
      <w:r w:rsidRPr="00C76550">
        <w:rPr>
          <w:sz w:val="22"/>
          <w:szCs w:val="22"/>
        </w:rPr>
        <w:t>IC Interpretation 13, Customer Loyalty Programmes.</w:t>
      </w:r>
    </w:p>
    <w:p w:rsidR="00CF0B19" w:rsidRPr="00C76550" w:rsidRDefault="00CF0B19" w:rsidP="00E16696">
      <w:pPr>
        <w:ind w:left="1260" w:hanging="180"/>
        <w:rPr>
          <w:sz w:val="22"/>
          <w:szCs w:val="22"/>
        </w:rPr>
      </w:pPr>
      <w:r w:rsidRPr="00C76550">
        <w:rPr>
          <w:sz w:val="22"/>
          <w:szCs w:val="22"/>
        </w:rPr>
        <w:t>IC Interpretation 14, FRS 119: The Limit on a Defined Benefit Asset, Minimum Funding Requirements and their Interaction.</w:t>
      </w:r>
    </w:p>
    <w:p w:rsidR="00CF0B19" w:rsidRPr="00C76550" w:rsidRDefault="00CF0B19" w:rsidP="00E16696">
      <w:pPr>
        <w:ind w:left="1260" w:hanging="180"/>
        <w:rPr>
          <w:sz w:val="22"/>
          <w:szCs w:val="22"/>
        </w:rPr>
      </w:pPr>
      <w:r w:rsidRPr="00C76550">
        <w:rPr>
          <w:sz w:val="22"/>
          <w:szCs w:val="22"/>
        </w:rPr>
        <w:t>Amendments to FRS 2, Share-based Payment – Vesting Condition and Cancellation.</w:t>
      </w:r>
    </w:p>
    <w:p w:rsidR="00CF0B19" w:rsidRPr="00C76550" w:rsidRDefault="00CF0B19" w:rsidP="00E16696">
      <w:pPr>
        <w:ind w:left="1260" w:hanging="180"/>
        <w:rPr>
          <w:sz w:val="22"/>
          <w:szCs w:val="22"/>
        </w:rPr>
      </w:pPr>
      <w:r w:rsidRPr="00C76550">
        <w:rPr>
          <w:sz w:val="22"/>
          <w:szCs w:val="22"/>
        </w:rPr>
        <w:t>Amendments to FRS 7, Financial Instruments: Disclosures.</w:t>
      </w:r>
    </w:p>
    <w:p w:rsidR="00CF0B19" w:rsidRPr="00C76550" w:rsidRDefault="00CF0B19" w:rsidP="00E16696">
      <w:pPr>
        <w:ind w:left="1260" w:hanging="180"/>
        <w:rPr>
          <w:sz w:val="22"/>
          <w:szCs w:val="22"/>
        </w:rPr>
      </w:pPr>
      <w:r w:rsidRPr="00C76550">
        <w:rPr>
          <w:sz w:val="22"/>
          <w:szCs w:val="22"/>
        </w:rPr>
        <w:t>Amendment to FRS 127 Consolidated and Separate Financial Statements</w:t>
      </w:r>
    </w:p>
    <w:p w:rsidR="00CF0B19" w:rsidRPr="00C76550" w:rsidRDefault="00CF0B19" w:rsidP="00E16696">
      <w:pPr>
        <w:ind w:left="1260" w:hanging="180"/>
        <w:rPr>
          <w:sz w:val="22"/>
          <w:szCs w:val="22"/>
        </w:rPr>
      </w:pPr>
      <w:r w:rsidRPr="00C76550">
        <w:rPr>
          <w:sz w:val="22"/>
          <w:szCs w:val="22"/>
        </w:rPr>
        <w:t>Amendment to FRS 132, Financial Instruments: Presentation.</w:t>
      </w:r>
    </w:p>
    <w:p w:rsidR="00CF0B19" w:rsidRPr="00C76550" w:rsidRDefault="00CF0B19" w:rsidP="00E16696">
      <w:pPr>
        <w:ind w:left="1260" w:hanging="180"/>
        <w:rPr>
          <w:sz w:val="22"/>
          <w:szCs w:val="22"/>
        </w:rPr>
      </w:pPr>
      <w:r w:rsidRPr="00C76550">
        <w:rPr>
          <w:sz w:val="22"/>
          <w:szCs w:val="22"/>
        </w:rPr>
        <w:t xml:space="preserve">Amendment to FRS 139, Financial Instruments: Recognition and Measurement </w:t>
      </w:r>
    </w:p>
    <w:p w:rsidR="00CF0B19" w:rsidRPr="00C76550" w:rsidRDefault="00CF0B19" w:rsidP="00E16696">
      <w:pPr>
        <w:ind w:left="1260" w:hanging="180"/>
        <w:rPr>
          <w:sz w:val="22"/>
          <w:szCs w:val="22"/>
        </w:rPr>
      </w:pPr>
    </w:p>
    <w:p w:rsidR="00CF0B19" w:rsidRPr="00C76550" w:rsidRDefault="00CF0B19" w:rsidP="00536772">
      <w:pPr>
        <w:pStyle w:val="BodyTextIndent"/>
        <w:ind w:left="1080"/>
        <w:jc w:val="both"/>
        <w:rPr>
          <w:sz w:val="22"/>
          <w:szCs w:val="22"/>
        </w:rPr>
      </w:pPr>
      <w:r w:rsidRPr="00C76550">
        <w:rPr>
          <w:sz w:val="22"/>
          <w:szCs w:val="22"/>
        </w:rPr>
        <w:t xml:space="preserve">The adoption of the above revised FRSs does not have significant financial impact on the interim financial statements of CHB and the Group. </w:t>
      </w:r>
    </w:p>
    <w:p w:rsidR="00CF0B19" w:rsidRPr="00C76550" w:rsidRDefault="00CF0B19" w:rsidP="002F35A3">
      <w:pPr>
        <w:pStyle w:val="BodyTextIndent"/>
        <w:ind w:left="1080"/>
        <w:jc w:val="both"/>
        <w:rPr>
          <w:sz w:val="22"/>
          <w:szCs w:val="22"/>
        </w:rPr>
      </w:pPr>
    </w:p>
    <w:p w:rsidR="00CF0B19" w:rsidRPr="00C76550" w:rsidRDefault="00CF0B19" w:rsidP="008A18FC">
      <w:pPr>
        <w:pStyle w:val="BodyTextIndent"/>
        <w:ind w:left="1080"/>
        <w:jc w:val="both"/>
        <w:rPr>
          <w:sz w:val="22"/>
          <w:szCs w:val="22"/>
        </w:rPr>
      </w:pPr>
    </w:p>
    <w:p w:rsidR="00CF0B19" w:rsidRPr="00C76550" w:rsidRDefault="00CF0B19" w:rsidP="008A18FC">
      <w:pPr>
        <w:numPr>
          <w:ilvl w:val="0"/>
          <w:numId w:val="1"/>
        </w:numPr>
        <w:jc w:val="both"/>
        <w:rPr>
          <w:b/>
          <w:bCs/>
          <w:sz w:val="22"/>
          <w:szCs w:val="22"/>
        </w:rPr>
      </w:pPr>
      <w:r w:rsidRPr="00C76550">
        <w:rPr>
          <w:b/>
          <w:bCs/>
          <w:sz w:val="22"/>
          <w:szCs w:val="22"/>
        </w:rPr>
        <w:t>Qualification of Annual Financial Statements</w:t>
      </w:r>
    </w:p>
    <w:p w:rsidR="00CF0B19" w:rsidRPr="00C76550" w:rsidRDefault="00CF0B19" w:rsidP="008A18FC">
      <w:pPr>
        <w:ind w:left="1080"/>
        <w:jc w:val="both"/>
        <w:rPr>
          <w:b/>
          <w:bCs/>
          <w:sz w:val="22"/>
          <w:szCs w:val="22"/>
        </w:rPr>
      </w:pPr>
    </w:p>
    <w:p w:rsidR="00CF0B19" w:rsidRPr="00C76550" w:rsidRDefault="00CF0B19" w:rsidP="008A18FC">
      <w:pPr>
        <w:pStyle w:val="BodyTextIndent"/>
        <w:ind w:left="1080"/>
        <w:jc w:val="both"/>
        <w:rPr>
          <w:sz w:val="22"/>
          <w:szCs w:val="22"/>
        </w:rPr>
      </w:pPr>
      <w:r w:rsidRPr="00C76550">
        <w:rPr>
          <w:sz w:val="22"/>
          <w:szCs w:val="22"/>
        </w:rPr>
        <w:t>There has not been any qualification made by the auditors on the annual financial statements of the Group for the financial year ended 31 December 2009.</w:t>
      </w:r>
    </w:p>
    <w:p w:rsidR="00CF0B19" w:rsidRPr="00C76550" w:rsidRDefault="00CF0B19" w:rsidP="008A18FC">
      <w:pPr>
        <w:pStyle w:val="BodyTextIndent2"/>
        <w:ind w:left="0"/>
        <w:jc w:val="both"/>
        <w:rPr>
          <w:b w:val="0"/>
          <w:bCs w:val="0"/>
          <w:sz w:val="22"/>
          <w:szCs w:val="22"/>
        </w:rPr>
      </w:pPr>
    </w:p>
    <w:p w:rsidR="00CF0B19" w:rsidRPr="00C76550" w:rsidRDefault="00CF0B19" w:rsidP="008A18FC">
      <w:pPr>
        <w:pStyle w:val="BodyTextIndent2"/>
        <w:numPr>
          <w:ilvl w:val="0"/>
          <w:numId w:val="1"/>
        </w:numPr>
        <w:jc w:val="both"/>
        <w:rPr>
          <w:sz w:val="22"/>
          <w:szCs w:val="22"/>
        </w:rPr>
      </w:pPr>
      <w:r w:rsidRPr="00C76550">
        <w:rPr>
          <w:sz w:val="22"/>
          <w:szCs w:val="22"/>
        </w:rPr>
        <w:t>Seasonal and cyclical factors</w:t>
      </w:r>
    </w:p>
    <w:p w:rsidR="00CF0B19" w:rsidRPr="00C76550" w:rsidRDefault="00CF0B19" w:rsidP="008A18FC">
      <w:pPr>
        <w:ind w:left="1080"/>
        <w:jc w:val="both"/>
        <w:rPr>
          <w:sz w:val="22"/>
          <w:szCs w:val="22"/>
        </w:rPr>
      </w:pPr>
    </w:p>
    <w:p w:rsidR="00CF0B19" w:rsidRPr="00C76550" w:rsidRDefault="00CF0B19" w:rsidP="008A18FC">
      <w:pPr>
        <w:ind w:left="1080"/>
        <w:jc w:val="both"/>
        <w:rPr>
          <w:b/>
          <w:bCs/>
          <w:sz w:val="22"/>
          <w:szCs w:val="22"/>
        </w:rPr>
      </w:pPr>
      <w:r w:rsidRPr="00C76550">
        <w:rPr>
          <w:sz w:val="22"/>
          <w:szCs w:val="22"/>
        </w:rPr>
        <w:t>The Group’s business operation results were not materially affected by any major seasonal or cyclical factors.</w:t>
      </w:r>
    </w:p>
    <w:p w:rsidR="00CF0B19" w:rsidRPr="00C76550" w:rsidRDefault="00CF0B19" w:rsidP="00F74924">
      <w:pPr>
        <w:jc w:val="both"/>
        <w:rPr>
          <w:sz w:val="22"/>
          <w:szCs w:val="22"/>
        </w:rPr>
      </w:pPr>
    </w:p>
    <w:p w:rsidR="00CF0B19" w:rsidRPr="00C76550" w:rsidRDefault="00CF0B19" w:rsidP="00F74924">
      <w:pPr>
        <w:jc w:val="both"/>
        <w:rPr>
          <w:sz w:val="22"/>
          <w:szCs w:val="22"/>
        </w:rPr>
      </w:pPr>
    </w:p>
    <w:p w:rsidR="00CF0B19" w:rsidRPr="00C76550" w:rsidRDefault="00CF0B19" w:rsidP="008A18FC">
      <w:pPr>
        <w:numPr>
          <w:ilvl w:val="0"/>
          <w:numId w:val="1"/>
        </w:numPr>
        <w:jc w:val="both"/>
        <w:rPr>
          <w:b/>
          <w:bCs/>
          <w:sz w:val="22"/>
          <w:szCs w:val="22"/>
        </w:rPr>
      </w:pPr>
      <w:r w:rsidRPr="00C76550">
        <w:rPr>
          <w:b/>
          <w:bCs/>
          <w:sz w:val="22"/>
          <w:szCs w:val="22"/>
        </w:rPr>
        <w:t>Unusual nature and amounts of items affecting assets, liabilities, equity, net income or cash flows</w:t>
      </w:r>
    </w:p>
    <w:p w:rsidR="00CF0B19" w:rsidRPr="00C76550" w:rsidRDefault="00CF0B19" w:rsidP="008A18FC">
      <w:pPr>
        <w:pStyle w:val="BodyTextIndent"/>
        <w:ind w:left="1080"/>
        <w:jc w:val="both"/>
        <w:rPr>
          <w:sz w:val="22"/>
          <w:szCs w:val="22"/>
        </w:rPr>
      </w:pPr>
    </w:p>
    <w:p w:rsidR="00CF0B19" w:rsidRPr="00C76550" w:rsidRDefault="00CF0B19" w:rsidP="008A18FC">
      <w:pPr>
        <w:ind w:left="1080"/>
        <w:jc w:val="both"/>
        <w:rPr>
          <w:b/>
          <w:bCs/>
          <w:color w:val="1F497D"/>
          <w:sz w:val="22"/>
          <w:szCs w:val="22"/>
        </w:rPr>
      </w:pPr>
      <w:r w:rsidRPr="00C76550">
        <w:rPr>
          <w:sz w:val="22"/>
          <w:szCs w:val="22"/>
        </w:rPr>
        <w:t>There were no items of unusual nature and amount affecting assets, liabilities, equity, net income or cash flows.</w:t>
      </w:r>
      <w:r w:rsidRPr="00C76550">
        <w:rPr>
          <w:b/>
          <w:bCs/>
          <w:color w:val="1F497D"/>
          <w:sz w:val="22"/>
          <w:szCs w:val="22"/>
        </w:rPr>
        <w:t xml:space="preserve"> </w:t>
      </w:r>
    </w:p>
    <w:p w:rsidR="00CF0B19" w:rsidRDefault="00CF0B19" w:rsidP="008A18FC">
      <w:pPr>
        <w:ind w:left="1080"/>
        <w:jc w:val="both"/>
        <w:rPr>
          <w:b/>
          <w:bCs/>
          <w:color w:val="1F497D"/>
          <w:sz w:val="22"/>
          <w:szCs w:val="22"/>
        </w:rPr>
      </w:pPr>
    </w:p>
    <w:p w:rsidR="00CF0B19" w:rsidRPr="00C76550" w:rsidRDefault="00CF0B19" w:rsidP="008A18FC">
      <w:pPr>
        <w:ind w:left="1080"/>
        <w:jc w:val="both"/>
        <w:rPr>
          <w:b/>
          <w:bCs/>
          <w:color w:val="1F497D"/>
          <w:sz w:val="22"/>
          <w:szCs w:val="22"/>
        </w:rPr>
      </w:pPr>
    </w:p>
    <w:p w:rsidR="00CF0B19" w:rsidRPr="00C76550" w:rsidRDefault="00CF0B19" w:rsidP="008A18FC">
      <w:pPr>
        <w:numPr>
          <w:ilvl w:val="0"/>
          <w:numId w:val="1"/>
        </w:numPr>
        <w:jc w:val="both"/>
        <w:rPr>
          <w:b/>
          <w:bCs/>
          <w:sz w:val="22"/>
          <w:szCs w:val="22"/>
        </w:rPr>
      </w:pPr>
      <w:r w:rsidRPr="00C76550">
        <w:rPr>
          <w:b/>
          <w:bCs/>
          <w:sz w:val="22"/>
          <w:szCs w:val="22"/>
        </w:rPr>
        <w:t xml:space="preserve"> Material changes in estimates</w:t>
      </w:r>
    </w:p>
    <w:p w:rsidR="00CF0B19" w:rsidRPr="00C76550" w:rsidRDefault="00CF0B19" w:rsidP="008A18FC">
      <w:pPr>
        <w:ind w:left="1080"/>
        <w:jc w:val="both"/>
        <w:rPr>
          <w:b/>
          <w:bCs/>
          <w:sz w:val="22"/>
          <w:szCs w:val="22"/>
        </w:rPr>
      </w:pPr>
    </w:p>
    <w:p w:rsidR="00CF0B19" w:rsidRPr="00C76550" w:rsidRDefault="00CF0B19" w:rsidP="00D57ECF">
      <w:pPr>
        <w:ind w:left="1080"/>
        <w:jc w:val="both"/>
        <w:rPr>
          <w:sz w:val="22"/>
          <w:szCs w:val="22"/>
        </w:rPr>
      </w:pPr>
      <w:r w:rsidRPr="00C76550">
        <w:rPr>
          <w:sz w:val="22"/>
          <w:szCs w:val="22"/>
        </w:rPr>
        <w:t xml:space="preserve">There were no material changes in estimates of amounts reported in the current quarter under review. </w:t>
      </w:r>
    </w:p>
    <w:p w:rsidR="00CF0B19" w:rsidRPr="00C76550" w:rsidRDefault="00CF0B19" w:rsidP="008A18FC">
      <w:pPr>
        <w:jc w:val="both"/>
        <w:rPr>
          <w:sz w:val="22"/>
          <w:szCs w:val="22"/>
        </w:rPr>
      </w:pPr>
    </w:p>
    <w:p w:rsidR="00CF0B19" w:rsidRPr="00C76550" w:rsidRDefault="00CF0B19" w:rsidP="008A18FC">
      <w:pPr>
        <w:jc w:val="both"/>
        <w:rPr>
          <w:sz w:val="22"/>
          <w:szCs w:val="22"/>
        </w:rPr>
      </w:pPr>
    </w:p>
    <w:p w:rsidR="00CF0B19" w:rsidRPr="00C76550" w:rsidRDefault="00CF0B19" w:rsidP="008A18FC">
      <w:pPr>
        <w:pStyle w:val="BodyTextIndent3"/>
        <w:numPr>
          <w:ilvl w:val="0"/>
          <w:numId w:val="1"/>
        </w:numPr>
        <w:jc w:val="both"/>
        <w:rPr>
          <w:sz w:val="22"/>
          <w:szCs w:val="22"/>
        </w:rPr>
      </w:pPr>
      <w:r w:rsidRPr="00C76550">
        <w:rPr>
          <w:sz w:val="22"/>
          <w:szCs w:val="22"/>
        </w:rPr>
        <w:t>Issuances and repayment of debt and equity securities</w:t>
      </w:r>
      <w:r w:rsidRPr="00C76550">
        <w:rPr>
          <w:sz w:val="22"/>
          <w:szCs w:val="22"/>
        </w:rPr>
        <w:tab/>
      </w:r>
    </w:p>
    <w:p w:rsidR="00CF0B19" w:rsidRPr="00C76550" w:rsidRDefault="00CF0B19" w:rsidP="008A18FC">
      <w:pPr>
        <w:pStyle w:val="BodyTextIndent3"/>
        <w:ind w:left="360" w:firstLine="0"/>
        <w:jc w:val="both"/>
        <w:rPr>
          <w:sz w:val="22"/>
          <w:szCs w:val="22"/>
        </w:rPr>
      </w:pPr>
    </w:p>
    <w:p w:rsidR="00CF0B19" w:rsidRPr="00C76550" w:rsidRDefault="00CF0B19" w:rsidP="008A18FC">
      <w:pPr>
        <w:pStyle w:val="BodyText"/>
        <w:ind w:left="360" w:firstLine="720"/>
        <w:jc w:val="both"/>
        <w:rPr>
          <w:bCs/>
          <w:i w:val="0"/>
          <w:iCs w:val="0"/>
          <w:sz w:val="22"/>
          <w:szCs w:val="22"/>
        </w:rPr>
      </w:pPr>
      <w:r w:rsidRPr="00C76550">
        <w:rPr>
          <w:bCs/>
          <w:i w:val="0"/>
          <w:sz w:val="22"/>
          <w:szCs w:val="22"/>
        </w:rPr>
        <w:t>There were no issuance and repayment of debt and equity securities during the quarter under review.</w:t>
      </w:r>
      <w:r w:rsidRPr="00C76550">
        <w:rPr>
          <w:bCs/>
          <w:i w:val="0"/>
          <w:iCs w:val="0"/>
          <w:sz w:val="22"/>
          <w:szCs w:val="22"/>
        </w:rPr>
        <w:t xml:space="preserve">                                                </w:t>
      </w:r>
    </w:p>
    <w:p w:rsidR="00CF0B19" w:rsidRPr="00C76550" w:rsidRDefault="00CF0B19" w:rsidP="008A18FC">
      <w:pPr>
        <w:pStyle w:val="BodyText"/>
        <w:ind w:firstLine="360"/>
        <w:jc w:val="both"/>
        <w:rPr>
          <w:bCs/>
          <w:i w:val="0"/>
          <w:iCs w:val="0"/>
          <w:sz w:val="22"/>
          <w:szCs w:val="22"/>
        </w:rPr>
      </w:pPr>
      <w:r w:rsidRPr="00C76550">
        <w:rPr>
          <w:bCs/>
          <w:i w:val="0"/>
          <w:iCs w:val="0"/>
          <w:sz w:val="22"/>
          <w:szCs w:val="22"/>
        </w:rPr>
        <w:t xml:space="preserve">             </w:t>
      </w:r>
    </w:p>
    <w:p w:rsidR="00CF0B19" w:rsidRPr="00C76550" w:rsidRDefault="00CF0B19" w:rsidP="008A18FC">
      <w:pPr>
        <w:pStyle w:val="BodyText"/>
        <w:ind w:firstLine="360"/>
        <w:jc w:val="both"/>
        <w:rPr>
          <w:b/>
          <w:bCs/>
          <w:i w:val="0"/>
          <w:iCs w:val="0"/>
          <w:sz w:val="22"/>
          <w:szCs w:val="22"/>
        </w:rPr>
      </w:pPr>
    </w:p>
    <w:p w:rsidR="00CF0B19" w:rsidRPr="00C76550" w:rsidRDefault="00CF0B19" w:rsidP="008A18FC">
      <w:pPr>
        <w:numPr>
          <w:ilvl w:val="0"/>
          <w:numId w:val="2"/>
        </w:numPr>
        <w:jc w:val="both"/>
        <w:rPr>
          <w:b/>
          <w:bCs/>
          <w:sz w:val="22"/>
          <w:szCs w:val="22"/>
        </w:rPr>
      </w:pPr>
      <w:r w:rsidRPr="00C76550">
        <w:rPr>
          <w:b/>
          <w:bCs/>
          <w:sz w:val="22"/>
          <w:szCs w:val="22"/>
        </w:rPr>
        <w:t>Dividend Paid</w:t>
      </w:r>
      <w:r w:rsidRPr="00C76550">
        <w:rPr>
          <w:b/>
          <w:bCs/>
          <w:sz w:val="22"/>
          <w:szCs w:val="22"/>
        </w:rPr>
        <w:tab/>
      </w:r>
    </w:p>
    <w:p w:rsidR="00CF0B19" w:rsidRPr="00C76550" w:rsidRDefault="00CF0B19" w:rsidP="008A18FC">
      <w:pPr>
        <w:ind w:left="1080"/>
        <w:jc w:val="both"/>
        <w:rPr>
          <w:b/>
          <w:bCs/>
          <w:sz w:val="22"/>
          <w:szCs w:val="22"/>
        </w:rPr>
      </w:pPr>
    </w:p>
    <w:p w:rsidR="00CF0B19" w:rsidRPr="00C76550" w:rsidRDefault="00CF0B19" w:rsidP="005A3150">
      <w:pPr>
        <w:pStyle w:val="BodyTextIndent"/>
        <w:ind w:left="1080"/>
        <w:jc w:val="both"/>
        <w:rPr>
          <w:sz w:val="22"/>
          <w:szCs w:val="22"/>
        </w:rPr>
      </w:pPr>
      <w:r w:rsidRPr="00C76550">
        <w:rPr>
          <w:sz w:val="22"/>
          <w:szCs w:val="22"/>
        </w:rPr>
        <w:t>There was no dividend paid during the quarter under review.</w:t>
      </w:r>
    </w:p>
    <w:p w:rsidR="00CF0B19" w:rsidRPr="00C76550" w:rsidRDefault="00CF0B19" w:rsidP="000202BF">
      <w:pPr>
        <w:pStyle w:val="BodyTextIndent"/>
        <w:jc w:val="both"/>
        <w:rPr>
          <w:sz w:val="22"/>
          <w:szCs w:val="22"/>
        </w:rPr>
      </w:pPr>
    </w:p>
    <w:p w:rsidR="00CF0B19" w:rsidRPr="00C76550" w:rsidRDefault="00CF0B19" w:rsidP="000202BF">
      <w:pPr>
        <w:pStyle w:val="BodyTextIndent"/>
        <w:jc w:val="both"/>
        <w:rPr>
          <w:sz w:val="22"/>
          <w:szCs w:val="22"/>
        </w:rPr>
      </w:pPr>
    </w:p>
    <w:p w:rsidR="00CF0B19" w:rsidRPr="00C76550" w:rsidRDefault="00CF0B19" w:rsidP="008A18FC">
      <w:pPr>
        <w:tabs>
          <w:tab w:val="left" w:pos="1080"/>
        </w:tabs>
        <w:ind w:left="360"/>
        <w:jc w:val="both"/>
        <w:rPr>
          <w:b/>
          <w:bCs/>
          <w:sz w:val="22"/>
          <w:szCs w:val="22"/>
        </w:rPr>
      </w:pPr>
      <w:r w:rsidRPr="00C76550">
        <w:rPr>
          <w:b/>
          <w:bCs/>
          <w:sz w:val="22"/>
          <w:szCs w:val="22"/>
        </w:rPr>
        <w:t>A8.</w:t>
      </w:r>
      <w:r w:rsidRPr="00C76550">
        <w:rPr>
          <w:b/>
          <w:bCs/>
          <w:sz w:val="22"/>
          <w:szCs w:val="22"/>
        </w:rPr>
        <w:tab/>
        <w:t>Segment information</w:t>
      </w:r>
    </w:p>
    <w:p w:rsidR="00CF0B19" w:rsidRPr="00C76550" w:rsidRDefault="00CF0B19" w:rsidP="008A18FC">
      <w:pPr>
        <w:tabs>
          <w:tab w:val="left" w:pos="1080"/>
        </w:tabs>
        <w:ind w:left="360"/>
        <w:jc w:val="both"/>
        <w:rPr>
          <w:b/>
          <w:bCs/>
          <w:sz w:val="22"/>
          <w:szCs w:val="22"/>
        </w:rPr>
      </w:pPr>
    </w:p>
    <w:p w:rsidR="00CF0B19" w:rsidRPr="00C76550" w:rsidRDefault="00CF0B19" w:rsidP="008A18FC">
      <w:pPr>
        <w:tabs>
          <w:tab w:val="left" w:pos="1080"/>
        </w:tabs>
        <w:ind w:left="360"/>
        <w:jc w:val="both"/>
        <w:rPr>
          <w:sz w:val="22"/>
          <w:szCs w:val="22"/>
        </w:rPr>
      </w:pPr>
      <w:r w:rsidRPr="00C76550">
        <w:rPr>
          <w:b/>
          <w:bCs/>
          <w:sz w:val="22"/>
          <w:szCs w:val="22"/>
        </w:rPr>
        <w:tab/>
      </w:r>
      <w:r w:rsidRPr="00C76550">
        <w:rPr>
          <w:sz w:val="22"/>
          <w:szCs w:val="22"/>
        </w:rPr>
        <w:t>Segmental information in respect of the Group’s business segments is as follows:-</w:t>
      </w:r>
    </w:p>
    <w:p w:rsidR="00CF0B19" w:rsidRPr="00C76550" w:rsidRDefault="00CF0B19" w:rsidP="008A18FC">
      <w:pPr>
        <w:tabs>
          <w:tab w:val="left" w:pos="1080"/>
        </w:tabs>
        <w:ind w:left="1080"/>
        <w:jc w:val="both"/>
        <w:rPr>
          <w:sz w:val="22"/>
          <w:szCs w:val="22"/>
        </w:rPr>
      </w:pPr>
    </w:p>
    <w:p w:rsidR="00CF0B19" w:rsidRPr="00C76550" w:rsidRDefault="00CF0B19" w:rsidP="008A18FC">
      <w:pPr>
        <w:tabs>
          <w:tab w:val="left" w:pos="1080"/>
        </w:tabs>
        <w:ind w:left="1080"/>
        <w:jc w:val="both"/>
        <w:rPr>
          <w:b/>
          <w:bCs/>
          <w:sz w:val="22"/>
          <w:szCs w:val="22"/>
        </w:rPr>
      </w:pPr>
      <w:r w:rsidRPr="00C76550">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58.25pt" o:ole="" fillcolor="window">
            <v:imagedata r:id="rId7" o:title=""/>
          </v:shape>
          <o:OLEObject Type="Embed" ProgID="Excel.Sheet.8" ShapeID="_x0000_i1025" DrawAspect="Content" ObjectID="_1359467552" r:id="rId8"/>
        </w:object>
      </w:r>
    </w:p>
    <w:p w:rsidR="00CF0B19" w:rsidRPr="00C76550" w:rsidRDefault="00CF0B19" w:rsidP="005155AF">
      <w:pPr>
        <w:tabs>
          <w:tab w:val="left" w:pos="1080"/>
        </w:tabs>
        <w:jc w:val="both"/>
        <w:rPr>
          <w:bCs/>
          <w:sz w:val="22"/>
          <w:szCs w:val="22"/>
        </w:rPr>
      </w:pPr>
    </w:p>
    <w:p w:rsidR="00CF0B19" w:rsidRPr="00C76550" w:rsidRDefault="00CF0B19" w:rsidP="008A18FC">
      <w:pPr>
        <w:tabs>
          <w:tab w:val="left" w:pos="1080"/>
        </w:tabs>
        <w:ind w:left="1080"/>
        <w:jc w:val="both"/>
        <w:rPr>
          <w:bCs/>
          <w:sz w:val="22"/>
          <w:szCs w:val="22"/>
        </w:rPr>
      </w:pPr>
      <w:r w:rsidRPr="00C76550">
        <w:rPr>
          <w:bCs/>
          <w:sz w:val="22"/>
          <w:szCs w:val="22"/>
        </w:rPr>
        <w:t>*Steel coils</w:t>
      </w:r>
      <w:r w:rsidRPr="00C76550">
        <w:rPr>
          <w:bCs/>
          <w:sz w:val="22"/>
          <w:szCs w:val="22"/>
        </w:rPr>
        <w:tab/>
        <w:t>– cold rolled, galvanized &amp; pre-painted galvanised steel coils</w:t>
      </w:r>
    </w:p>
    <w:p w:rsidR="00CF0B19" w:rsidRPr="00C76550" w:rsidRDefault="00CF0B19" w:rsidP="00B77E6D">
      <w:pPr>
        <w:jc w:val="both"/>
        <w:rPr>
          <w:b/>
          <w:bCs/>
          <w:sz w:val="22"/>
          <w:szCs w:val="22"/>
        </w:rPr>
      </w:pPr>
    </w:p>
    <w:p w:rsidR="00CF0B19" w:rsidRDefault="00CF0B19" w:rsidP="008A18FC">
      <w:pPr>
        <w:ind w:left="1080" w:hanging="720"/>
        <w:jc w:val="both"/>
        <w:rPr>
          <w:b/>
          <w:bCs/>
          <w:sz w:val="22"/>
          <w:szCs w:val="22"/>
        </w:rPr>
      </w:pPr>
    </w:p>
    <w:p w:rsidR="00CF0B19" w:rsidRDefault="00CF0B19" w:rsidP="008A18FC">
      <w:pPr>
        <w:ind w:left="1080" w:hanging="720"/>
        <w:jc w:val="both"/>
        <w:rPr>
          <w:b/>
          <w:bCs/>
          <w:sz w:val="22"/>
          <w:szCs w:val="22"/>
        </w:rPr>
      </w:pPr>
    </w:p>
    <w:p w:rsidR="00CF0B19" w:rsidRDefault="00CF0B19" w:rsidP="008A18FC">
      <w:pPr>
        <w:ind w:left="1080" w:hanging="720"/>
        <w:jc w:val="both"/>
        <w:rPr>
          <w:b/>
          <w:bCs/>
          <w:sz w:val="22"/>
          <w:szCs w:val="22"/>
        </w:rPr>
      </w:pPr>
    </w:p>
    <w:p w:rsidR="00CF0B19" w:rsidRPr="00C76550" w:rsidRDefault="00CF0B19" w:rsidP="008A18FC">
      <w:pPr>
        <w:ind w:left="1080" w:hanging="720"/>
        <w:jc w:val="both"/>
        <w:rPr>
          <w:b/>
          <w:bCs/>
          <w:sz w:val="22"/>
          <w:szCs w:val="22"/>
        </w:rPr>
      </w:pPr>
    </w:p>
    <w:p w:rsidR="00CF0B19" w:rsidRPr="00C76550" w:rsidRDefault="00CF0B19" w:rsidP="008A18FC">
      <w:pPr>
        <w:ind w:left="1080" w:hanging="720"/>
        <w:jc w:val="both"/>
        <w:rPr>
          <w:b/>
          <w:bCs/>
          <w:sz w:val="22"/>
          <w:szCs w:val="22"/>
        </w:rPr>
      </w:pPr>
      <w:r w:rsidRPr="00C76550">
        <w:rPr>
          <w:b/>
          <w:bCs/>
          <w:sz w:val="22"/>
          <w:szCs w:val="22"/>
        </w:rPr>
        <w:t>A9.</w:t>
      </w:r>
      <w:r w:rsidRPr="00C76550">
        <w:rPr>
          <w:b/>
          <w:bCs/>
          <w:sz w:val="22"/>
          <w:szCs w:val="22"/>
        </w:rPr>
        <w:tab/>
        <w:t>Valuation of property, plant and equipment</w:t>
      </w:r>
    </w:p>
    <w:p w:rsidR="00CF0B19" w:rsidRPr="00C76550" w:rsidRDefault="00CF0B19" w:rsidP="008A18FC">
      <w:pPr>
        <w:jc w:val="both"/>
        <w:rPr>
          <w:b/>
          <w:bCs/>
          <w:sz w:val="22"/>
          <w:szCs w:val="22"/>
        </w:rPr>
      </w:pPr>
    </w:p>
    <w:p w:rsidR="00CF0B19" w:rsidRPr="00C76550" w:rsidRDefault="00CF0B19" w:rsidP="008A18FC">
      <w:pPr>
        <w:ind w:left="1080"/>
        <w:jc w:val="both"/>
        <w:rPr>
          <w:sz w:val="22"/>
          <w:szCs w:val="22"/>
        </w:rPr>
      </w:pPr>
      <w:r w:rsidRPr="00C76550">
        <w:rPr>
          <w:sz w:val="22"/>
          <w:szCs w:val="22"/>
        </w:rPr>
        <w:t>The property, plant and equipment are stated at cost less accumulated depreciation and impairment losses except for freehold land which</w:t>
      </w:r>
      <w:r w:rsidRPr="00C76550">
        <w:rPr>
          <w:bCs/>
          <w:sz w:val="22"/>
          <w:szCs w:val="22"/>
        </w:rPr>
        <w:t xml:space="preserve"> is stated at cost. </w:t>
      </w:r>
      <w:r w:rsidRPr="00C76550">
        <w:rPr>
          <w:sz w:val="22"/>
          <w:szCs w:val="22"/>
        </w:rPr>
        <w:t>There was no revaluation of property, plant and equipment for the current quarter and financial year to date.</w:t>
      </w:r>
    </w:p>
    <w:p w:rsidR="00CF0B19" w:rsidRPr="00C76550" w:rsidRDefault="00CF0B19" w:rsidP="008A18FC">
      <w:pPr>
        <w:pStyle w:val="BodyTextIndent3"/>
        <w:ind w:firstLine="0"/>
        <w:jc w:val="both"/>
        <w:rPr>
          <w:b w:val="0"/>
          <w:bCs w:val="0"/>
          <w:sz w:val="22"/>
          <w:szCs w:val="22"/>
        </w:rPr>
      </w:pPr>
    </w:p>
    <w:p w:rsidR="00CF0B19" w:rsidRPr="00C76550" w:rsidRDefault="00CF0B19" w:rsidP="008A18FC">
      <w:pPr>
        <w:pStyle w:val="BodyTextIndent3"/>
        <w:ind w:firstLine="0"/>
        <w:jc w:val="both"/>
        <w:rPr>
          <w:b w:val="0"/>
          <w:bCs w:val="0"/>
          <w:sz w:val="22"/>
          <w:szCs w:val="22"/>
        </w:rPr>
      </w:pPr>
    </w:p>
    <w:p w:rsidR="00CF0B19" w:rsidRPr="00C76550" w:rsidRDefault="00CF0B19" w:rsidP="008A18FC">
      <w:pPr>
        <w:tabs>
          <w:tab w:val="left" w:pos="1080"/>
        </w:tabs>
        <w:ind w:left="360"/>
        <w:jc w:val="both"/>
        <w:rPr>
          <w:b/>
          <w:bCs/>
          <w:sz w:val="22"/>
          <w:szCs w:val="22"/>
        </w:rPr>
      </w:pPr>
      <w:r w:rsidRPr="00C76550">
        <w:rPr>
          <w:b/>
          <w:bCs/>
          <w:sz w:val="22"/>
          <w:szCs w:val="22"/>
        </w:rPr>
        <w:t>A10.</w:t>
      </w:r>
      <w:r w:rsidRPr="00C76550">
        <w:rPr>
          <w:b/>
          <w:bCs/>
          <w:sz w:val="22"/>
          <w:szCs w:val="22"/>
        </w:rPr>
        <w:tab/>
        <w:t>Material events subsequent to the end of the interim period</w:t>
      </w:r>
    </w:p>
    <w:p w:rsidR="00CF0B19" w:rsidRPr="00C76550" w:rsidRDefault="00CF0B19" w:rsidP="008A18FC">
      <w:pPr>
        <w:pStyle w:val="BodyText"/>
        <w:ind w:left="1080"/>
        <w:jc w:val="both"/>
        <w:rPr>
          <w:i w:val="0"/>
          <w:iCs w:val="0"/>
          <w:sz w:val="22"/>
          <w:szCs w:val="22"/>
        </w:rPr>
      </w:pPr>
    </w:p>
    <w:p w:rsidR="00CF0B19" w:rsidRPr="00C76550" w:rsidRDefault="00CF0B19" w:rsidP="008A18FC">
      <w:pPr>
        <w:pStyle w:val="BodyText"/>
        <w:ind w:left="1080" w:hanging="720"/>
        <w:jc w:val="both"/>
        <w:rPr>
          <w:i w:val="0"/>
          <w:sz w:val="22"/>
          <w:szCs w:val="22"/>
        </w:rPr>
      </w:pPr>
      <w:r w:rsidRPr="00C76550">
        <w:rPr>
          <w:i w:val="0"/>
          <w:sz w:val="22"/>
          <w:szCs w:val="22"/>
        </w:rPr>
        <w:tab/>
        <w:t>There were no material events subsequent to the end of the current quarter under review.</w:t>
      </w:r>
    </w:p>
    <w:p w:rsidR="00CF0B19" w:rsidRPr="00C76550" w:rsidRDefault="00CF0B19" w:rsidP="008A18FC">
      <w:pPr>
        <w:pStyle w:val="BodyText"/>
        <w:jc w:val="both"/>
        <w:rPr>
          <w:b/>
          <w:bCs/>
          <w:i w:val="0"/>
          <w:iCs w:val="0"/>
          <w:sz w:val="22"/>
          <w:szCs w:val="22"/>
        </w:rPr>
      </w:pPr>
      <w:r w:rsidRPr="00C76550">
        <w:rPr>
          <w:b/>
          <w:bCs/>
          <w:i w:val="0"/>
          <w:iCs w:val="0"/>
          <w:sz w:val="22"/>
          <w:szCs w:val="22"/>
        </w:rPr>
        <w:t xml:space="preserve">               </w:t>
      </w:r>
    </w:p>
    <w:p w:rsidR="00CF0B19" w:rsidRPr="00C76550" w:rsidRDefault="00CF0B19" w:rsidP="008A18FC">
      <w:pPr>
        <w:pStyle w:val="BodyText"/>
        <w:jc w:val="both"/>
        <w:rPr>
          <w:b/>
          <w:bCs/>
          <w:i w:val="0"/>
          <w:iCs w:val="0"/>
          <w:sz w:val="22"/>
          <w:szCs w:val="22"/>
        </w:rPr>
      </w:pPr>
    </w:p>
    <w:p w:rsidR="00CF0B19" w:rsidRPr="00C76550" w:rsidRDefault="00CF0B19" w:rsidP="008A18FC">
      <w:pPr>
        <w:tabs>
          <w:tab w:val="left" w:pos="1080"/>
        </w:tabs>
        <w:ind w:left="360"/>
        <w:jc w:val="both"/>
        <w:rPr>
          <w:b/>
          <w:bCs/>
          <w:sz w:val="22"/>
          <w:szCs w:val="22"/>
        </w:rPr>
      </w:pPr>
      <w:r w:rsidRPr="00C76550">
        <w:rPr>
          <w:b/>
          <w:bCs/>
          <w:sz w:val="22"/>
          <w:szCs w:val="22"/>
        </w:rPr>
        <w:t>A11.</w:t>
      </w:r>
      <w:r w:rsidRPr="00C76550">
        <w:rPr>
          <w:b/>
          <w:bCs/>
          <w:sz w:val="22"/>
          <w:szCs w:val="22"/>
        </w:rPr>
        <w:tab/>
        <w:t>Changes in the composition of the Group</w:t>
      </w:r>
    </w:p>
    <w:p w:rsidR="00CF0B19" w:rsidRPr="00C76550" w:rsidRDefault="00CF0B19" w:rsidP="008A18FC">
      <w:pPr>
        <w:ind w:left="1080"/>
        <w:jc w:val="both"/>
        <w:rPr>
          <w:sz w:val="22"/>
          <w:szCs w:val="22"/>
        </w:rPr>
      </w:pPr>
    </w:p>
    <w:p w:rsidR="00CF0B19" w:rsidRPr="00C76550" w:rsidRDefault="00CF0B19" w:rsidP="008A18FC">
      <w:pPr>
        <w:ind w:left="1080"/>
        <w:jc w:val="both"/>
        <w:rPr>
          <w:sz w:val="22"/>
          <w:szCs w:val="22"/>
        </w:rPr>
      </w:pPr>
      <w:r w:rsidRPr="00C76550">
        <w:rPr>
          <w:sz w:val="22"/>
          <w:szCs w:val="22"/>
        </w:rPr>
        <w:t>There were no changes in the composition of the Group during the current quarter under review.</w:t>
      </w:r>
    </w:p>
    <w:p w:rsidR="00CF0B19" w:rsidRPr="00C76550" w:rsidRDefault="00CF0B19" w:rsidP="008A18FC">
      <w:pPr>
        <w:ind w:left="1080"/>
        <w:jc w:val="both"/>
        <w:rPr>
          <w:sz w:val="22"/>
          <w:szCs w:val="22"/>
        </w:rPr>
      </w:pPr>
    </w:p>
    <w:p w:rsidR="00CF0B19" w:rsidRPr="00C76550" w:rsidRDefault="00CF0B19">
      <w:pPr>
        <w:autoSpaceDE/>
        <w:autoSpaceDN/>
        <w:rPr>
          <w:sz w:val="22"/>
          <w:szCs w:val="22"/>
        </w:rPr>
      </w:pPr>
    </w:p>
    <w:p w:rsidR="00CF0B19" w:rsidRPr="00C76550" w:rsidRDefault="00CF0B19" w:rsidP="008A18FC">
      <w:pPr>
        <w:tabs>
          <w:tab w:val="left" w:pos="1080"/>
        </w:tabs>
        <w:ind w:left="360"/>
        <w:jc w:val="both"/>
        <w:rPr>
          <w:sz w:val="22"/>
          <w:szCs w:val="22"/>
        </w:rPr>
      </w:pPr>
      <w:r w:rsidRPr="00C76550">
        <w:rPr>
          <w:b/>
          <w:bCs/>
          <w:sz w:val="22"/>
          <w:szCs w:val="22"/>
        </w:rPr>
        <w:t>A12.</w:t>
      </w:r>
      <w:r w:rsidRPr="00C76550">
        <w:rPr>
          <w:b/>
          <w:bCs/>
          <w:sz w:val="22"/>
          <w:szCs w:val="22"/>
        </w:rPr>
        <w:tab/>
        <w:t>Changes in contingent liabilities</w:t>
      </w:r>
    </w:p>
    <w:p w:rsidR="00CF0B19" w:rsidRPr="00C76550" w:rsidRDefault="00CF0B19" w:rsidP="008A18FC">
      <w:pPr>
        <w:jc w:val="both"/>
        <w:rPr>
          <w:sz w:val="22"/>
          <w:szCs w:val="22"/>
        </w:rPr>
      </w:pPr>
    </w:p>
    <w:p w:rsidR="00CF0B19" w:rsidRPr="00C76550" w:rsidRDefault="00CF0B19" w:rsidP="008A18FC">
      <w:pPr>
        <w:pStyle w:val="BodyTextIndent"/>
        <w:ind w:left="1080"/>
        <w:jc w:val="both"/>
        <w:rPr>
          <w:sz w:val="22"/>
          <w:szCs w:val="22"/>
        </w:rPr>
      </w:pPr>
      <w:r w:rsidRPr="00C76550">
        <w:rPr>
          <w:sz w:val="22"/>
          <w:szCs w:val="22"/>
        </w:rPr>
        <w:t xml:space="preserve">As at the date of this announcement, there were no material contingent liabilities incurred by the Group which, upon becoming enforceable, may have a material impact on the financial position of the Group. </w:t>
      </w:r>
    </w:p>
    <w:p w:rsidR="00CF0B19" w:rsidRPr="00C76550" w:rsidRDefault="00CF0B19" w:rsidP="008A18FC">
      <w:pPr>
        <w:pStyle w:val="BodyText"/>
        <w:jc w:val="both"/>
        <w:rPr>
          <w:b/>
          <w:bCs/>
          <w:i w:val="0"/>
          <w:iCs w:val="0"/>
          <w:sz w:val="22"/>
          <w:szCs w:val="22"/>
        </w:rPr>
      </w:pPr>
      <w:r w:rsidRPr="00C76550">
        <w:rPr>
          <w:b/>
          <w:bCs/>
          <w:i w:val="0"/>
          <w:iCs w:val="0"/>
          <w:sz w:val="22"/>
          <w:szCs w:val="22"/>
        </w:rPr>
        <w:t xml:space="preserve">                   </w:t>
      </w:r>
    </w:p>
    <w:p w:rsidR="00CF0B19" w:rsidRPr="00C76550" w:rsidRDefault="00CF0B19" w:rsidP="008A18FC">
      <w:pPr>
        <w:pStyle w:val="BodyText"/>
        <w:jc w:val="both"/>
        <w:rPr>
          <w:b/>
          <w:bCs/>
          <w:i w:val="0"/>
          <w:iCs w:val="0"/>
          <w:sz w:val="22"/>
          <w:szCs w:val="22"/>
        </w:rPr>
      </w:pPr>
    </w:p>
    <w:p w:rsidR="00CF0B19" w:rsidRPr="00C76550" w:rsidRDefault="00CF0B19" w:rsidP="008A18FC">
      <w:pPr>
        <w:pStyle w:val="BodyText"/>
        <w:jc w:val="both"/>
        <w:rPr>
          <w:b/>
          <w:bCs/>
          <w:i w:val="0"/>
          <w:iCs w:val="0"/>
          <w:sz w:val="22"/>
          <w:szCs w:val="22"/>
        </w:rPr>
      </w:pPr>
      <w:r w:rsidRPr="00C76550">
        <w:rPr>
          <w:b/>
          <w:bCs/>
          <w:i w:val="0"/>
          <w:iCs w:val="0"/>
          <w:sz w:val="22"/>
          <w:szCs w:val="22"/>
        </w:rPr>
        <w:t xml:space="preserve">      A13.     Capital commitments</w:t>
      </w:r>
    </w:p>
    <w:p w:rsidR="00CF0B19" w:rsidRPr="00C76550" w:rsidRDefault="00CF0B19" w:rsidP="008A18FC">
      <w:pPr>
        <w:pStyle w:val="BodyText"/>
        <w:ind w:left="1080" w:hanging="720"/>
        <w:jc w:val="both"/>
        <w:rPr>
          <w:i w:val="0"/>
          <w:iCs w:val="0"/>
          <w:sz w:val="22"/>
          <w:szCs w:val="22"/>
        </w:rPr>
      </w:pPr>
      <w:r w:rsidRPr="00C76550">
        <w:rPr>
          <w:sz w:val="22"/>
          <w:szCs w:val="22"/>
        </w:rPr>
        <w:tab/>
        <w:t xml:space="preserve"> </w:t>
      </w:r>
    </w:p>
    <w:tbl>
      <w:tblPr>
        <w:tblW w:w="0" w:type="auto"/>
        <w:tblInd w:w="1080" w:type="dxa"/>
        <w:tblLook w:val="01E0"/>
      </w:tblPr>
      <w:tblGrid>
        <w:gridCol w:w="3708"/>
        <w:gridCol w:w="1260"/>
      </w:tblGrid>
      <w:tr w:rsidR="00CF0B19" w:rsidRPr="00C76550" w:rsidTr="00567D27">
        <w:tc>
          <w:tcPr>
            <w:tcW w:w="3708" w:type="dxa"/>
          </w:tcPr>
          <w:p w:rsidR="00CF0B19" w:rsidRPr="00C76550" w:rsidRDefault="00CF0B19" w:rsidP="008A18FC">
            <w:pPr>
              <w:widowControl w:val="0"/>
              <w:tabs>
                <w:tab w:val="left" w:pos="1080"/>
              </w:tabs>
              <w:jc w:val="both"/>
              <w:rPr>
                <w:rFonts w:eastAsia="Times New Roman"/>
              </w:rPr>
            </w:pPr>
          </w:p>
        </w:tc>
        <w:tc>
          <w:tcPr>
            <w:tcW w:w="1260" w:type="dxa"/>
          </w:tcPr>
          <w:p w:rsidR="00CF0B19" w:rsidRPr="00C76550" w:rsidRDefault="00CF0B19" w:rsidP="00F149A8">
            <w:pPr>
              <w:widowControl w:val="0"/>
              <w:tabs>
                <w:tab w:val="left" w:pos="1080"/>
              </w:tabs>
              <w:jc w:val="center"/>
              <w:rPr>
                <w:rFonts w:eastAsia="Times New Roman"/>
              </w:rPr>
            </w:pPr>
            <w:r w:rsidRPr="00C76550">
              <w:rPr>
                <w:iCs/>
                <w:sz w:val="22"/>
                <w:szCs w:val="22"/>
              </w:rPr>
              <w:t>RM’000</w:t>
            </w:r>
          </w:p>
        </w:tc>
      </w:tr>
      <w:tr w:rsidR="00CF0B19" w:rsidRPr="00C76550" w:rsidTr="00567D27">
        <w:tc>
          <w:tcPr>
            <w:tcW w:w="3708" w:type="dxa"/>
          </w:tcPr>
          <w:p w:rsidR="00CF0B19" w:rsidRPr="00C76550" w:rsidRDefault="00CF0B19" w:rsidP="008A18FC">
            <w:pPr>
              <w:widowControl w:val="0"/>
              <w:tabs>
                <w:tab w:val="left" w:pos="1080"/>
              </w:tabs>
              <w:jc w:val="both"/>
              <w:rPr>
                <w:rFonts w:eastAsia="Times New Roman"/>
              </w:rPr>
            </w:pPr>
          </w:p>
        </w:tc>
        <w:tc>
          <w:tcPr>
            <w:tcW w:w="1260" w:type="dxa"/>
          </w:tcPr>
          <w:p w:rsidR="00CF0B19" w:rsidRPr="00C76550" w:rsidRDefault="00CF0B19" w:rsidP="00F149A8">
            <w:pPr>
              <w:widowControl w:val="0"/>
              <w:tabs>
                <w:tab w:val="left" w:pos="1080"/>
              </w:tabs>
              <w:jc w:val="center"/>
              <w:rPr>
                <w:rFonts w:eastAsia="Times New Roman"/>
              </w:rPr>
            </w:pPr>
          </w:p>
        </w:tc>
      </w:tr>
      <w:tr w:rsidR="00CF0B19" w:rsidRPr="00C76550" w:rsidTr="00567D27">
        <w:tc>
          <w:tcPr>
            <w:tcW w:w="3708" w:type="dxa"/>
          </w:tcPr>
          <w:p w:rsidR="00CF0B19" w:rsidRPr="00C76550" w:rsidRDefault="00CF0B19" w:rsidP="008A18FC">
            <w:pPr>
              <w:widowControl w:val="0"/>
              <w:tabs>
                <w:tab w:val="left" w:pos="1080"/>
              </w:tabs>
              <w:jc w:val="both"/>
              <w:rPr>
                <w:rFonts w:eastAsia="Times New Roman"/>
              </w:rPr>
            </w:pPr>
            <w:r w:rsidRPr="00C76550">
              <w:rPr>
                <w:iCs/>
                <w:sz w:val="22"/>
                <w:szCs w:val="22"/>
              </w:rPr>
              <w:t>Approved and contracted for</w:t>
            </w:r>
          </w:p>
        </w:tc>
        <w:tc>
          <w:tcPr>
            <w:tcW w:w="1260" w:type="dxa"/>
          </w:tcPr>
          <w:p w:rsidR="00CF0B19" w:rsidRPr="00C76550" w:rsidRDefault="00CF0B19" w:rsidP="00AE02DC">
            <w:pPr>
              <w:widowControl w:val="0"/>
              <w:tabs>
                <w:tab w:val="left" w:pos="1080"/>
              </w:tabs>
              <w:jc w:val="center"/>
              <w:rPr>
                <w:rFonts w:eastAsia="Times New Roman"/>
              </w:rPr>
            </w:pPr>
            <w:r w:rsidRPr="00C76550">
              <w:rPr>
                <w:rFonts w:eastAsia="Times New Roman"/>
                <w:iCs/>
                <w:sz w:val="22"/>
                <w:szCs w:val="22"/>
              </w:rPr>
              <w:t xml:space="preserve">           7</w:t>
            </w:r>
          </w:p>
        </w:tc>
      </w:tr>
      <w:tr w:rsidR="00CF0B19" w:rsidRPr="00C76550" w:rsidTr="00567D27">
        <w:tc>
          <w:tcPr>
            <w:tcW w:w="3708" w:type="dxa"/>
          </w:tcPr>
          <w:p w:rsidR="00CF0B19" w:rsidRPr="00C76550" w:rsidRDefault="00CF0B19" w:rsidP="008A18FC">
            <w:pPr>
              <w:widowControl w:val="0"/>
              <w:tabs>
                <w:tab w:val="left" w:pos="1080"/>
              </w:tabs>
              <w:jc w:val="both"/>
              <w:rPr>
                <w:rFonts w:eastAsia="Times New Roman"/>
              </w:rPr>
            </w:pPr>
            <w:r w:rsidRPr="00C76550">
              <w:rPr>
                <w:iCs/>
                <w:sz w:val="22"/>
                <w:szCs w:val="22"/>
              </w:rPr>
              <w:t>Approved but not contracted for</w:t>
            </w:r>
          </w:p>
        </w:tc>
        <w:tc>
          <w:tcPr>
            <w:tcW w:w="1260" w:type="dxa"/>
          </w:tcPr>
          <w:p w:rsidR="00CF0B19" w:rsidRPr="00C76550" w:rsidRDefault="00CF0B19" w:rsidP="00E5312C">
            <w:pPr>
              <w:widowControl w:val="0"/>
              <w:tabs>
                <w:tab w:val="left" w:pos="1080"/>
              </w:tabs>
              <w:jc w:val="center"/>
              <w:rPr>
                <w:rFonts w:eastAsia="Times New Roman"/>
              </w:rPr>
            </w:pPr>
            <w:r w:rsidRPr="00C76550">
              <w:rPr>
                <w:iCs/>
                <w:sz w:val="22"/>
                <w:szCs w:val="22"/>
              </w:rPr>
              <w:t xml:space="preserve">  22,586</w:t>
            </w:r>
          </w:p>
        </w:tc>
      </w:tr>
      <w:tr w:rsidR="00CF0B19" w:rsidRPr="00C76550" w:rsidTr="00567D27">
        <w:tc>
          <w:tcPr>
            <w:tcW w:w="3708" w:type="dxa"/>
          </w:tcPr>
          <w:p w:rsidR="00CF0B19" w:rsidRPr="00C76550" w:rsidRDefault="00CF0B19" w:rsidP="008A18FC">
            <w:pPr>
              <w:widowControl w:val="0"/>
              <w:tabs>
                <w:tab w:val="left" w:pos="1080"/>
              </w:tabs>
              <w:jc w:val="both"/>
              <w:rPr>
                <w:rFonts w:eastAsia="Times New Roman"/>
              </w:rPr>
            </w:pPr>
          </w:p>
        </w:tc>
        <w:tc>
          <w:tcPr>
            <w:tcW w:w="1260" w:type="dxa"/>
            <w:tcBorders>
              <w:bottom w:val="single" w:sz="4" w:space="0" w:color="auto"/>
            </w:tcBorders>
          </w:tcPr>
          <w:p w:rsidR="00CF0B19" w:rsidRPr="00C76550" w:rsidRDefault="00CF0B19" w:rsidP="00295F0B">
            <w:pPr>
              <w:widowControl w:val="0"/>
              <w:tabs>
                <w:tab w:val="left" w:pos="1080"/>
              </w:tabs>
              <w:rPr>
                <w:rFonts w:eastAsia="Times New Roman"/>
              </w:rPr>
            </w:pPr>
          </w:p>
        </w:tc>
      </w:tr>
      <w:tr w:rsidR="00CF0B19" w:rsidRPr="00C76550" w:rsidTr="00567D27">
        <w:tc>
          <w:tcPr>
            <w:tcW w:w="3708" w:type="dxa"/>
          </w:tcPr>
          <w:p w:rsidR="00CF0B19" w:rsidRPr="00C76550" w:rsidRDefault="00CF0B19" w:rsidP="008A18FC">
            <w:pPr>
              <w:widowControl w:val="0"/>
              <w:tabs>
                <w:tab w:val="left" w:pos="1080"/>
              </w:tabs>
              <w:jc w:val="both"/>
              <w:rPr>
                <w:rFonts w:eastAsia="Times New Roman"/>
              </w:rPr>
            </w:pPr>
          </w:p>
        </w:tc>
        <w:tc>
          <w:tcPr>
            <w:tcW w:w="1260" w:type="dxa"/>
            <w:tcBorders>
              <w:top w:val="single" w:sz="4" w:space="0" w:color="auto"/>
              <w:bottom w:val="double" w:sz="4" w:space="0" w:color="auto"/>
            </w:tcBorders>
          </w:tcPr>
          <w:p w:rsidR="00CF0B19" w:rsidRPr="00C76550" w:rsidRDefault="00CF0B19" w:rsidP="00E5312C">
            <w:pPr>
              <w:widowControl w:val="0"/>
              <w:tabs>
                <w:tab w:val="left" w:pos="1080"/>
              </w:tabs>
              <w:rPr>
                <w:rFonts w:eastAsia="Times New Roman"/>
              </w:rPr>
            </w:pPr>
            <w:r w:rsidRPr="00C76550">
              <w:rPr>
                <w:rFonts w:eastAsia="Times New Roman"/>
                <w:sz w:val="22"/>
                <w:szCs w:val="22"/>
              </w:rPr>
              <w:t xml:space="preserve">     22,593</w:t>
            </w:r>
          </w:p>
        </w:tc>
      </w:tr>
      <w:tr w:rsidR="00CF0B19" w:rsidRPr="00C76550" w:rsidTr="00567D27">
        <w:tc>
          <w:tcPr>
            <w:tcW w:w="3708" w:type="dxa"/>
          </w:tcPr>
          <w:p w:rsidR="00CF0B19" w:rsidRPr="00C76550" w:rsidRDefault="00CF0B19" w:rsidP="008A18FC">
            <w:pPr>
              <w:widowControl w:val="0"/>
              <w:tabs>
                <w:tab w:val="left" w:pos="1080"/>
              </w:tabs>
              <w:jc w:val="both"/>
              <w:rPr>
                <w:rFonts w:eastAsia="Times New Roman"/>
              </w:rPr>
            </w:pPr>
          </w:p>
        </w:tc>
        <w:tc>
          <w:tcPr>
            <w:tcW w:w="1260" w:type="dxa"/>
            <w:tcBorders>
              <w:top w:val="double" w:sz="4" w:space="0" w:color="auto"/>
            </w:tcBorders>
          </w:tcPr>
          <w:p w:rsidR="00CF0B19" w:rsidRPr="00C76550" w:rsidRDefault="00CF0B19" w:rsidP="008A18FC">
            <w:pPr>
              <w:widowControl w:val="0"/>
              <w:tabs>
                <w:tab w:val="left" w:pos="1080"/>
              </w:tabs>
              <w:jc w:val="both"/>
              <w:rPr>
                <w:rFonts w:eastAsia="Times New Roman"/>
              </w:rPr>
            </w:pPr>
          </w:p>
        </w:tc>
      </w:tr>
    </w:tbl>
    <w:p w:rsidR="00CF0B19" w:rsidRPr="00C76550" w:rsidRDefault="00CF0B19" w:rsidP="00A165FD">
      <w:pPr>
        <w:pStyle w:val="BodyText"/>
        <w:jc w:val="both"/>
        <w:rPr>
          <w:b/>
          <w:bCs/>
          <w:i w:val="0"/>
          <w:iCs w:val="0"/>
          <w:sz w:val="22"/>
          <w:szCs w:val="22"/>
        </w:rPr>
      </w:pPr>
      <w:r w:rsidRPr="00C76550">
        <w:rPr>
          <w:b/>
          <w:bCs/>
          <w:i w:val="0"/>
          <w:iCs w:val="0"/>
          <w:sz w:val="22"/>
          <w:szCs w:val="22"/>
        </w:rPr>
        <w:t xml:space="preserve">      </w:t>
      </w:r>
    </w:p>
    <w:p w:rsidR="00CF0B19" w:rsidRDefault="00CF0B19" w:rsidP="00A165FD">
      <w:pPr>
        <w:pStyle w:val="BodyText"/>
        <w:jc w:val="both"/>
        <w:rPr>
          <w:sz w:val="22"/>
          <w:szCs w:val="22"/>
        </w:rPr>
      </w:pPr>
    </w:p>
    <w:p w:rsidR="00CF0B19" w:rsidRDefault="00CF0B19" w:rsidP="00A165FD">
      <w:pPr>
        <w:pStyle w:val="BodyText"/>
        <w:jc w:val="both"/>
        <w:rPr>
          <w:sz w:val="22"/>
          <w:szCs w:val="22"/>
        </w:rPr>
      </w:pPr>
    </w:p>
    <w:p w:rsidR="00CF0B19" w:rsidRPr="00C76550" w:rsidRDefault="00CF0B19" w:rsidP="00A165FD">
      <w:pPr>
        <w:pStyle w:val="BodyText"/>
        <w:jc w:val="both"/>
        <w:rPr>
          <w:sz w:val="22"/>
          <w:szCs w:val="22"/>
        </w:rPr>
      </w:pPr>
    </w:p>
    <w:p w:rsidR="00CF0B19" w:rsidRPr="00C76550" w:rsidRDefault="00CF0B19" w:rsidP="00B06737">
      <w:pPr>
        <w:pStyle w:val="Heading1"/>
        <w:ind w:hanging="1080"/>
        <w:jc w:val="both"/>
        <w:rPr>
          <w:sz w:val="22"/>
          <w:szCs w:val="22"/>
        </w:rPr>
      </w:pPr>
      <w:r w:rsidRPr="00C76550">
        <w:rPr>
          <w:sz w:val="22"/>
          <w:szCs w:val="22"/>
        </w:rPr>
        <w:t xml:space="preserve">PART B: </w:t>
      </w:r>
      <w:r w:rsidRPr="00C76550">
        <w:rPr>
          <w:sz w:val="22"/>
          <w:szCs w:val="22"/>
        </w:rPr>
        <w:tab/>
        <w:t xml:space="preserve">ADDITIONAL INFORMATION REQUIRED BY THE LISTING REQUIREMENTS OF </w:t>
      </w:r>
      <w:smartTag w:uri="urn:schemas-microsoft-com:office:smarttags" w:element="place">
        <w:smartTag w:uri="urn:schemas-microsoft-com:office:smarttags" w:element="City">
          <w:r w:rsidRPr="00C76550">
            <w:rPr>
              <w:sz w:val="22"/>
              <w:szCs w:val="22"/>
            </w:rPr>
            <w:t>BURSA</w:t>
          </w:r>
        </w:smartTag>
      </w:smartTag>
      <w:r w:rsidRPr="00C76550">
        <w:rPr>
          <w:sz w:val="22"/>
          <w:szCs w:val="22"/>
        </w:rPr>
        <w:t xml:space="preserve"> SECURITIES </w:t>
      </w:r>
    </w:p>
    <w:p w:rsidR="00CF0B19" w:rsidRPr="00C76550" w:rsidRDefault="00CF0B19" w:rsidP="008A18FC">
      <w:pPr>
        <w:jc w:val="both"/>
        <w:rPr>
          <w:sz w:val="22"/>
          <w:szCs w:val="22"/>
        </w:rPr>
      </w:pPr>
    </w:p>
    <w:p w:rsidR="00CF0B19" w:rsidRPr="00C76550" w:rsidRDefault="00CF0B19" w:rsidP="008A18FC">
      <w:pPr>
        <w:jc w:val="both"/>
        <w:rPr>
          <w:sz w:val="22"/>
          <w:szCs w:val="22"/>
        </w:rPr>
      </w:pPr>
    </w:p>
    <w:p w:rsidR="00CF0B19" w:rsidRPr="00C76550" w:rsidRDefault="00CF0B19" w:rsidP="008A18FC">
      <w:pPr>
        <w:tabs>
          <w:tab w:val="left" w:pos="1080"/>
        </w:tabs>
        <w:ind w:left="1080" w:hanging="720"/>
        <w:jc w:val="both"/>
        <w:rPr>
          <w:b/>
          <w:bCs/>
          <w:sz w:val="22"/>
          <w:szCs w:val="22"/>
        </w:rPr>
      </w:pPr>
      <w:r w:rsidRPr="00C76550">
        <w:rPr>
          <w:b/>
          <w:bCs/>
          <w:sz w:val="22"/>
          <w:szCs w:val="22"/>
        </w:rPr>
        <w:t>B1.</w:t>
      </w:r>
      <w:r w:rsidRPr="00C76550">
        <w:rPr>
          <w:sz w:val="22"/>
          <w:szCs w:val="22"/>
        </w:rPr>
        <w:tab/>
      </w:r>
      <w:r w:rsidRPr="00C76550">
        <w:rPr>
          <w:b/>
          <w:bCs/>
          <w:sz w:val="22"/>
          <w:szCs w:val="22"/>
        </w:rPr>
        <w:t xml:space="preserve">Review of performance </w:t>
      </w:r>
    </w:p>
    <w:p w:rsidR="00CF0B19" w:rsidRPr="00C76550" w:rsidRDefault="00CF0B19" w:rsidP="008A18FC">
      <w:pPr>
        <w:tabs>
          <w:tab w:val="left" w:pos="1080"/>
        </w:tabs>
        <w:ind w:left="1080" w:hanging="1080"/>
        <w:jc w:val="both"/>
        <w:rPr>
          <w:sz w:val="22"/>
          <w:szCs w:val="22"/>
        </w:rPr>
      </w:pPr>
      <w:r w:rsidRPr="00C76550">
        <w:rPr>
          <w:sz w:val="22"/>
          <w:szCs w:val="22"/>
        </w:rPr>
        <w:tab/>
      </w:r>
    </w:p>
    <w:p w:rsidR="00CF0B19" w:rsidRPr="00C76550" w:rsidRDefault="00CF0B19" w:rsidP="00CB6536">
      <w:pPr>
        <w:ind w:left="1080"/>
        <w:jc w:val="both"/>
        <w:rPr>
          <w:sz w:val="22"/>
          <w:szCs w:val="22"/>
        </w:rPr>
      </w:pPr>
      <w:r w:rsidRPr="00C76550">
        <w:rPr>
          <w:sz w:val="22"/>
          <w:szCs w:val="22"/>
        </w:rPr>
        <w:t xml:space="preserve">The Group achieved revenue and profit before tax for the current quarter of RM258.7 million and RM11.2 million respectively. This represents a decrease of RM15.0 million or 6% lower in revenue than that of its corresponding quarter. Profit before tax decrease significantly by RM31.8 million or 74% from RM43.0 million in the corresponding quarter. </w:t>
      </w:r>
    </w:p>
    <w:p w:rsidR="00CF0B19" w:rsidRPr="00C76550" w:rsidRDefault="00CF0B19" w:rsidP="00CB6536">
      <w:pPr>
        <w:ind w:left="1080"/>
        <w:jc w:val="both"/>
        <w:rPr>
          <w:sz w:val="22"/>
          <w:szCs w:val="22"/>
        </w:rPr>
      </w:pPr>
    </w:p>
    <w:p w:rsidR="00CF0B19" w:rsidRPr="00C76550" w:rsidRDefault="00CF0B19" w:rsidP="007031B1">
      <w:pPr>
        <w:ind w:left="1080"/>
        <w:jc w:val="both"/>
        <w:rPr>
          <w:bCs/>
          <w:sz w:val="22"/>
          <w:szCs w:val="22"/>
        </w:rPr>
      </w:pPr>
      <w:r w:rsidRPr="00C76550">
        <w:rPr>
          <w:sz w:val="22"/>
          <w:szCs w:val="22"/>
        </w:rPr>
        <w:t xml:space="preserve">The drop in revenue and profit before tax are due to </w:t>
      </w:r>
      <w:r>
        <w:rPr>
          <w:sz w:val="22"/>
          <w:szCs w:val="22"/>
        </w:rPr>
        <w:t xml:space="preserve">lower </w:t>
      </w:r>
      <w:r w:rsidRPr="00C76550">
        <w:rPr>
          <w:sz w:val="22"/>
          <w:szCs w:val="22"/>
        </w:rPr>
        <w:t>selling price</w:t>
      </w:r>
      <w:r>
        <w:rPr>
          <w:sz w:val="22"/>
          <w:szCs w:val="22"/>
        </w:rPr>
        <w:t xml:space="preserve">s and higher raw material costs even though </w:t>
      </w:r>
      <w:r w:rsidRPr="00C76550">
        <w:rPr>
          <w:sz w:val="22"/>
          <w:szCs w:val="22"/>
        </w:rPr>
        <w:t xml:space="preserve">sales volume </w:t>
      </w:r>
      <w:r>
        <w:rPr>
          <w:sz w:val="22"/>
          <w:szCs w:val="22"/>
        </w:rPr>
        <w:t>is marginally higher than that of corresponding quarter.</w:t>
      </w:r>
      <w:r w:rsidRPr="00C76550">
        <w:rPr>
          <w:sz w:val="22"/>
          <w:szCs w:val="22"/>
        </w:rPr>
        <w:t xml:space="preserve"> </w:t>
      </w:r>
    </w:p>
    <w:p w:rsidR="00CF0B19" w:rsidRPr="00C76550" w:rsidRDefault="00CF0B19" w:rsidP="005E06C9">
      <w:pPr>
        <w:tabs>
          <w:tab w:val="left" w:pos="1080"/>
        </w:tabs>
        <w:jc w:val="both"/>
        <w:rPr>
          <w:bCs/>
          <w:sz w:val="22"/>
          <w:szCs w:val="22"/>
        </w:rPr>
      </w:pPr>
    </w:p>
    <w:p w:rsidR="00CF0B19" w:rsidRPr="00C76550" w:rsidRDefault="00CF0B19" w:rsidP="005E06C9">
      <w:pPr>
        <w:tabs>
          <w:tab w:val="left" w:pos="1080"/>
        </w:tabs>
        <w:ind w:left="1080" w:hanging="720"/>
        <w:jc w:val="both"/>
        <w:rPr>
          <w:b/>
          <w:bCs/>
          <w:sz w:val="22"/>
          <w:szCs w:val="22"/>
        </w:rPr>
      </w:pPr>
      <w:r w:rsidRPr="00C76550">
        <w:rPr>
          <w:b/>
          <w:bCs/>
          <w:sz w:val="22"/>
          <w:szCs w:val="22"/>
        </w:rPr>
        <w:t>B2.</w:t>
      </w:r>
      <w:r w:rsidRPr="00C76550">
        <w:rPr>
          <w:b/>
          <w:sz w:val="22"/>
          <w:szCs w:val="22"/>
        </w:rPr>
        <w:tab/>
      </w:r>
      <w:r w:rsidRPr="00C76550">
        <w:rPr>
          <w:b/>
          <w:bCs/>
          <w:sz w:val="22"/>
          <w:szCs w:val="22"/>
        </w:rPr>
        <w:t>Variation of results against preceding quarter</w:t>
      </w:r>
      <w:r w:rsidRPr="00C76550">
        <w:rPr>
          <w:b/>
          <w:sz w:val="22"/>
          <w:szCs w:val="22"/>
        </w:rPr>
        <w:t xml:space="preserve"> </w:t>
      </w:r>
    </w:p>
    <w:p w:rsidR="00CF0B19" w:rsidRPr="00C76550" w:rsidRDefault="00CF0B19" w:rsidP="005E06C9">
      <w:pPr>
        <w:jc w:val="both"/>
        <w:rPr>
          <w:sz w:val="22"/>
          <w:szCs w:val="22"/>
        </w:rPr>
      </w:pPr>
    </w:p>
    <w:p w:rsidR="00CF0B19" w:rsidRPr="00C76550" w:rsidRDefault="00CF0B19" w:rsidP="005E06C9">
      <w:pPr>
        <w:tabs>
          <w:tab w:val="left" w:pos="1080"/>
        </w:tabs>
        <w:ind w:left="1080" w:hanging="1080"/>
        <w:jc w:val="both"/>
        <w:rPr>
          <w:sz w:val="22"/>
          <w:szCs w:val="22"/>
        </w:rPr>
      </w:pPr>
      <w:r w:rsidRPr="00C76550">
        <w:rPr>
          <w:sz w:val="22"/>
          <w:szCs w:val="22"/>
        </w:rPr>
        <w:tab/>
        <w:t xml:space="preserve">The Group’s revenue has increased by 34%, from RM192.7 million in the preceding quarter to RM258.7 million in this quarter. The increase in revenue is due to </w:t>
      </w:r>
      <w:r>
        <w:rPr>
          <w:sz w:val="22"/>
          <w:szCs w:val="22"/>
        </w:rPr>
        <w:t xml:space="preserve">increase in </w:t>
      </w:r>
      <w:r w:rsidRPr="00C76550">
        <w:rPr>
          <w:sz w:val="22"/>
          <w:szCs w:val="22"/>
        </w:rPr>
        <w:t>sales volume of our steel products</w:t>
      </w:r>
      <w:r>
        <w:rPr>
          <w:sz w:val="22"/>
          <w:szCs w:val="22"/>
        </w:rPr>
        <w:t xml:space="preserve"> albeit at lower selling prices</w:t>
      </w:r>
      <w:r w:rsidRPr="00C76550">
        <w:rPr>
          <w:sz w:val="22"/>
          <w:szCs w:val="22"/>
        </w:rPr>
        <w:t>.</w:t>
      </w:r>
    </w:p>
    <w:p w:rsidR="00CF0B19" w:rsidRPr="00C76550" w:rsidRDefault="00CF0B19" w:rsidP="005E06C9">
      <w:pPr>
        <w:tabs>
          <w:tab w:val="left" w:pos="1080"/>
        </w:tabs>
        <w:ind w:left="1080" w:hanging="1080"/>
        <w:jc w:val="both"/>
        <w:rPr>
          <w:sz w:val="22"/>
          <w:szCs w:val="22"/>
        </w:rPr>
      </w:pPr>
      <w:r w:rsidRPr="00C76550">
        <w:rPr>
          <w:sz w:val="22"/>
          <w:szCs w:val="22"/>
        </w:rPr>
        <w:t xml:space="preserve"> </w:t>
      </w:r>
    </w:p>
    <w:p w:rsidR="00CF0B19" w:rsidRPr="00C76550" w:rsidRDefault="00CF0B19" w:rsidP="005E06C9">
      <w:pPr>
        <w:tabs>
          <w:tab w:val="left" w:pos="-540"/>
        </w:tabs>
        <w:ind w:left="1080"/>
        <w:jc w:val="both"/>
        <w:rPr>
          <w:sz w:val="22"/>
          <w:szCs w:val="22"/>
        </w:rPr>
      </w:pPr>
      <w:r w:rsidRPr="00C76550">
        <w:rPr>
          <w:sz w:val="22"/>
          <w:szCs w:val="22"/>
        </w:rPr>
        <w:t xml:space="preserve">The increase in revenue together with </w:t>
      </w:r>
      <w:r>
        <w:rPr>
          <w:sz w:val="22"/>
          <w:szCs w:val="22"/>
        </w:rPr>
        <w:t xml:space="preserve">lower raw materials cost </w:t>
      </w:r>
      <w:r w:rsidRPr="00C76550">
        <w:rPr>
          <w:sz w:val="22"/>
          <w:szCs w:val="22"/>
        </w:rPr>
        <w:t xml:space="preserve">resulted </w:t>
      </w:r>
      <w:r>
        <w:rPr>
          <w:sz w:val="22"/>
          <w:szCs w:val="22"/>
        </w:rPr>
        <w:t xml:space="preserve">in </w:t>
      </w:r>
      <w:r w:rsidRPr="00C76550">
        <w:rPr>
          <w:sz w:val="22"/>
          <w:szCs w:val="22"/>
        </w:rPr>
        <w:t>Group’s profit before tax to increase significantly by 369% from RM2.4 million in the preceding quarter to RM11.2 million this quarter.</w:t>
      </w:r>
    </w:p>
    <w:p w:rsidR="00CF0B19" w:rsidRPr="00C76550" w:rsidRDefault="00CF0B19" w:rsidP="007E67CF">
      <w:pPr>
        <w:tabs>
          <w:tab w:val="left" w:pos="1080"/>
        </w:tabs>
        <w:jc w:val="both"/>
        <w:rPr>
          <w:b/>
          <w:bCs/>
          <w:sz w:val="22"/>
          <w:szCs w:val="22"/>
        </w:rPr>
      </w:pPr>
    </w:p>
    <w:p w:rsidR="00CF0B19" w:rsidRPr="00C76550" w:rsidRDefault="00CF0B19" w:rsidP="008A18FC">
      <w:pPr>
        <w:tabs>
          <w:tab w:val="left" w:pos="-540"/>
        </w:tabs>
        <w:jc w:val="both"/>
        <w:rPr>
          <w:sz w:val="22"/>
          <w:szCs w:val="22"/>
        </w:rPr>
      </w:pPr>
    </w:p>
    <w:p w:rsidR="00CF0B19" w:rsidRPr="00C76550" w:rsidRDefault="00CF0B19" w:rsidP="008A18FC">
      <w:pPr>
        <w:tabs>
          <w:tab w:val="left" w:pos="1080"/>
        </w:tabs>
        <w:ind w:left="1080" w:hanging="720"/>
        <w:jc w:val="both"/>
        <w:rPr>
          <w:sz w:val="22"/>
          <w:szCs w:val="22"/>
        </w:rPr>
      </w:pPr>
      <w:r w:rsidRPr="00C76550">
        <w:rPr>
          <w:b/>
          <w:bCs/>
          <w:sz w:val="22"/>
          <w:szCs w:val="22"/>
        </w:rPr>
        <w:t>B3.</w:t>
      </w:r>
      <w:r w:rsidRPr="00C76550">
        <w:rPr>
          <w:sz w:val="22"/>
          <w:szCs w:val="22"/>
        </w:rPr>
        <w:tab/>
      </w:r>
      <w:r w:rsidRPr="00C76550">
        <w:rPr>
          <w:b/>
          <w:bCs/>
          <w:sz w:val="22"/>
          <w:szCs w:val="22"/>
        </w:rPr>
        <w:t>Current year prospects</w:t>
      </w:r>
      <w:r w:rsidRPr="00C76550">
        <w:rPr>
          <w:sz w:val="22"/>
          <w:szCs w:val="22"/>
        </w:rPr>
        <w:t xml:space="preserve">   </w:t>
      </w:r>
    </w:p>
    <w:p w:rsidR="00CF0B19" w:rsidRPr="00C76550" w:rsidRDefault="00CF0B19" w:rsidP="00C77739">
      <w:pPr>
        <w:tabs>
          <w:tab w:val="left" w:pos="1080"/>
        </w:tabs>
        <w:ind w:left="1080" w:hanging="720"/>
        <w:jc w:val="both"/>
        <w:rPr>
          <w:sz w:val="22"/>
          <w:szCs w:val="22"/>
        </w:rPr>
      </w:pPr>
    </w:p>
    <w:p w:rsidR="00CF0B19" w:rsidRDefault="00CF0B19" w:rsidP="0012408A">
      <w:pPr>
        <w:ind w:left="1080"/>
        <w:jc w:val="both"/>
      </w:pPr>
      <w:r w:rsidRPr="00C76550">
        <w:t>The steel demand and prices start</w:t>
      </w:r>
      <w:r>
        <w:t>ed</w:t>
      </w:r>
      <w:r w:rsidRPr="00C76550">
        <w:t xml:space="preserve"> to recover from December 2010 as buyers anticipated that steel prices w</w:t>
      </w:r>
      <w:r>
        <w:t xml:space="preserve">ould </w:t>
      </w:r>
      <w:r w:rsidRPr="00C76550">
        <w:t xml:space="preserve">increase further due to higher </w:t>
      </w:r>
      <w:r>
        <w:t xml:space="preserve">raw materials </w:t>
      </w:r>
      <w:r w:rsidRPr="00C76550">
        <w:t>cost such as iron ore and coking coal. The recent floods in Queensland, Australia ha</w:t>
      </w:r>
      <w:r>
        <w:t>d</w:t>
      </w:r>
      <w:r w:rsidRPr="00C76550">
        <w:t xml:space="preserve"> seriously disrupted the supply of coking coal</w:t>
      </w:r>
      <w:r>
        <w:t>. The upward trend of the prices of raw materials has become more obvious and definite.</w:t>
      </w:r>
    </w:p>
    <w:p w:rsidR="00CF0B19" w:rsidRDefault="00CF0B19" w:rsidP="0012408A">
      <w:pPr>
        <w:ind w:left="1080"/>
        <w:jc w:val="both"/>
      </w:pPr>
    </w:p>
    <w:p w:rsidR="00CF0B19" w:rsidRPr="00C76550" w:rsidRDefault="00CF0B19" w:rsidP="0012408A">
      <w:pPr>
        <w:ind w:left="1080"/>
        <w:jc w:val="both"/>
      </w:pPr>
      <w:r>
        <w:t>We expect t</w:t>
      </w:r>
      <w:r w:rsidRPr="00C76550">
        <w:t xml:space="preserve">he </w:t>
      </w:r>
      <w:r>
        <w:t xml:space="preserve">present </w:t>
      </w:r>
      <w:r w:rsidRPr="00C76550">
        <w:t xml:space="preserve">strong buying sentiment to spread through the first </w:t>
      </w:r>
      <w:r>
        <w:t>half</w:t>
      </w:r>
      <w:r w:rsidRPr="00C76550">
        <w:t xml:space="preserve"> of 2011, a</w:t>
      </w:r>
      <w:r>
        <w:t>s</w:t>
      </w:r>
      <w:r w:rsidRPr="00C76550">
        <w:t xml:space="preserve"> steel prices are expected to soar further. Barring </w:t>
      </w:r>
      <w:r>
        <w:t xml:space="preserve">any </w:t>
      </w:r>
      <w:r w:rsidRPr="00C76550">
        <w:t xml:space="preserve">unforeseen circumstances, the Group is </w:t>
      </w:r>
      <w:r>
        <w:t xml:space="preserve">cautiously </w:t>
      </w:r>
      <w:r w:rsidRPr="00C76550">
        <w:t xml:space="preserve">optimistic that the first </w:t>
      </w:r>
      <w:r>
        <w:t xml:space="preserve">half </w:t>
      </w:r>
      <w:r w:rsidRPr="00C76550">
        <w:t>of 2011 will be profitable.</w:t>
      </w:r>
      <w:r>
        <w:t xml:space="preserve"> However, there is no clear visibility as to the prospects for the second half of 2011.</w:t>
      </w:r>
      <w:r w:rsidRPr="001A0F1D">
        <w:rPr>
          <w:sz w:val="22"/>
          <w:szCs w:val="22"/>
        </w:rPr>
        <w:t xml:space="preserve"> </w:t>
      </w:r>
    </w:p>
    <w:p w:rsidR="00CF0B19" w:rsidRPr="00534C46" w:rsidRDefault="00CF0B19" w:rsidP="008A3A8E">
      <w:pPr>
        <w:ind w:left="1080"/>
        <w:jc w:val="both"/>
        <w:rPr>
          <w:sz w:val="22"/>
          <w:szCs w:val="22"/>
          <w:lang w:eastAsia="zh-CN"/>
        </w:rPr>
      </w:pPr>
    </w:p>
    <w:p w:rsidR="00CF0B19" w:rsidRPr="00C76550" w:rsidRDefault="00CF0B19" w:rsidP="008A18FC">
      <w:pPr>
        <w:tabs>
          <w:tab w:val="left" w:pos="1080"/>
        </w:tabs>
        <w:ind w:left="1080" w:hanging="720"/>
        <w:jc w:val="both"/>
        <w:rPr>
          <w:b/>
          <w:bCs/>
          <w:sz w:val="22"/>
          <w:szCs w:val="22"/>
        </w:rPr>
      </w:pPr>
    </w:p>
    <w:p w:rsidR="00CF0B19" w:rsidRPr="00C76550" w:rsidRDefault="00CF0B19" w:rsidP="008A18FC">
      <w:pPr>
        <w:tabs>
          <w:tab w:val="left" w:pos="1080"/>
        </w:tabs>
        <w:ind w:left="1080" w:hanging="720"/>
        <w:jc w:val="both"/>
        <w:rPr>
          <w:sz w:val="22"/>
          <w:szCs w:val="22"/>
        </w:rPr>
      </w:pPr>
      <w:r w:rsidRPr="00C76550">
        <w:rPr>
          <w:b/>
          <w:bCs/>
          <w:sz w:val="22"/>
          <w:szCs w:val="22"/>
        </w:rPr>
        <w:t>B4.</w:t>
      </w:r>
      <w:r w:rsidRPr="00C76550">
        <w:rPr>
          <w:sz w:val="22"/>
          <w:szCs w:val="22"/>
        </w:rPr>
        <w:tab/>
      </w:r>
      <w:r w:rsidRPr="00C76550">
        <w:rPr>
          <w:b/>
          <w:bCs/>
          <w:sz w:val="22"/>
          <w:szCs w:val="22"/>
        </w:rPr>
        <w:t>Variance of actual and forecast profit</w:t>
      </w:r>
      <w:r w:rsidRPr="00C76550">
        <w:rPr>
          <w:sz w:val="22"/>
          <w:szCs w:val="22"/>
        </w:rPr>
        <w:t xml:space="preserve"> </w:t>
      </w:r>
    </w:p>
    <w:p w:rsidR="00CF0B19" w:rsidRPr="00C76550" w:rsidRDefault="00CF0B19" w:rsidP="008A18FC">
      <w:pPr>
        <w:tabs>
          <w:tab w:val="left" w:pos="1080"/>
        </w:tabs>
        <w:ind w:left="1080" w:hanging="720"/>
        <w:jc w:val="both"/>
        <w:rPr>
          <w:sz w:val="22"/>
          <w:szCs w:val="22"/>
        </w:rPr>
      </w:pPr>
    </w:p>
    <w:p w:rsidR="00CF0B19" w:rsidRPr="00C76550" w:rsidRDefault="00CF0B19" w:rsidP="008A18FC">
      <w:pPr>
        <w:tabs>
          <w:tab w:val="left" w:pos="1080"/>
          <w:tab w:val="left" w:pos="3960"/>
        </w:tabs>
        <w:ind w:left="1080" w:hanging="1080"/>
        <w:jc w:val="both"/>
        <w:rPr>
          <w:sz w:val="22"/>
          <w:szCs w:val="22"/>
        </w:rPr>
      </w:pPr>
      <w:r w:rsidRPr="00C76550">
        <w:rPr>
          <w:sz w:val="22"/>
          <w:szCs w:val="22"/>
        </w:rPr>
        <w:tab/>
        <w:t>Not applicable as the Group does not make any profit</w:t>
      </w:r>
      <w:r>
        <w:rPr>
          <w:sz w:val="22"/>
          <w:szCs w:val="22"/>
        </w:rPr>
        <w:t xml:space="preserve"> forecast</w:t>
      </w:r>
      <w:r w:rsidRPr="00C76550">
        <w:rPr>
          <w:sz w:val="22"/>
          <w:szCs w:val="22"/>
        </w:rPr>
        <w:t xml:space="preserve"> for financial year 2010.</w:t>
      </w: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Default="00CF0B19" w:rsidP="000B5D0D">
      <w:pPr>
        <w:tabs>
          <w:tab w:val="left" w:pos="1080"/>
          <w:tab w:val="left" w:pos="3960"/>
        </w:tabs>
        <w:jc w:val="both"/>
        <w:rPr>
          <w:b/>
          <w:bCs/>
          <w:sz w:val="22"/>
          <w:szCs w:val="22"/>
        </w:rPr>
      </w:pPr>
    </w:p>
    <w:p w:rsidR="00CF0B19" w:rsidRPr="00C76550" w:rsidRDefault="00CF0B19" w:rsidP="000B5D0D">
      <w:pPr>
        <w:tabs>
          <w:tab w:val="left" w:pos="1080"/>
          <w:tab w:val="left" w:pos="3960"/>
        </w:tabs>
        <w:jc w:val="both"/>
        <w:rPr>
          <w:b/>
          <w:bCs/>
          <w:sz w:val="22"/>
          <w:szCs w:val="22"/>
        </w:rPr>
      </w:pPr>
    </w:p>
    <w:p w:rsidR="00CF0B19" w:rsidRDefault="00CF0B19" w:rsidP="008A18FC">
      <w:pPr>
        <w:tabs>
          <w:tab w:val="left" w:pos="1080"/>
        </w:tabs>
        <w:ind w:left="1080" w:hanging="720"/>
        <w:jc w:val="both"/>
        <w:rPr>
          <w:b/>
          <w:bCs/>
          <w:sz w:val="22"/>
          <w:szCs w:val="22"/>
        </w:rPr>
      </w:pPr>
    </w:p>
    <w:p w:rsidR="00CF0B19" w:rsidRDefault="00CF0B19" w:rsidP="008A18FC">
      <w:pPr>
        <w:tabs>
          <w:tab w:val="left" w:pos="1080"/>
        </w:tabs>
        <w:ind w:left="1080" w:hanging="720"/>
        <w:jc w:val="both"/>
        <w:rPr>
          <w:b/>
          <w:bCs/>
          <w:sz w:val="22"/>
          <w:szCs w:val="22"/>
        </w:rPr>
      </w:pPr>
    </w:p>
    <w:p w:rsidR="00CF0B19" w:rsidRDefault="00CF0B19" w:rsidP="008A18FC">
      <w:pPr>
        <w:tabs>
          <w:tab w:val="left" w:pos="1080"/>
        </w:tabs>
        <w:ind w:left="1080" w:hanging="720"/>
        <w:jc w:val="both"/>
        <w:rPr>
          <w:b/>
          <w:bCs/>
          <w:sz w:val="22"/>
          <w:szCs w:val="22"/>
        </w:rPr>
      </w:pPr>
    </w:p>
    <w:p w:rsidR="00CF0B19" w:rsidRPr="00C76550" w:rsidRDefault="00CF0B19" w:rsidP="008A18FC">
      <w:pPr>
        <w:tabs>
          <w:tab w:val="left" w:pos="1080"/>
        </w:tabs>
        <w:ind w:left="1080" w:hanging="720"/>
        <w:jc w:val="both"/>
        <w:rPr>
          <w:b/>
          <w:bCs/>
          <w:sz w:val="22"/>
          <w:szCs w:val="22"/>
        </w:rPr>
      </w:pPr>
    </w:p>
    <w:p w:rsidR="00CF0B19" w:rsidRPr="00C76550" w:rsidRDefault="00CF0B19" w:rsidP="008A18FC">
      <w:pPr>
        <w:tabs>
          <w:tab w:val="left" w:pos="1080"/>
        </w:tabs>
        <w:ind w:left="1080" w:hanging="720"/>
        <w:jc w:val="both"/>
        <w:rPr>
          <w:sz w:val="22"/>
          <w:szCs w:val="22"/>
        </w:rPr>
      </w:pPr>
      <w:r w:rsidRPr="00C76550">
        <w:rPr>
          <w:b/>
          <w:bCs/>
          <w:sz w:val="22"/>
          <w:szCs w:val="22"/>
        </w:rPr>
        <w:t>B5.</w:t>
      </w:r>
      <w:r w:rsidRPr="00C76550">
        <w:rPr>
          <w:sz w:val="22"/>
          <w:szCs w:val="22"/>
        </w:rPr>
        <w:tab/>
      </w:r>
      <w:r w:rsidRPr="00C76550">
        <w:rPr>
          <w:b/>
          <w:bCs/>
          <w:sz w:val="22"/>
          <w:szCs w:val="22"/>
        </w:rPr>
        <w:t>Tax expense</w:t>
      </w:r>
      <w:r w:rsidRPr="00C76550">
        <w:rPr>
          <w:sz w:val="22"/>
          <w:szCs w:val="22"/>
        </w:rPr>
        <w:t xml:space="preserve"> </w:t>
      </w:r>
    </w:p>
    <w:tbl>
      <w:tblPr>
        <w:tblW w:w="9236" w:type="dxa"/>
        <w:tblInd w:w="1188" w:type="dxa"/>
        <w:tblLayout w:type="fixed"/>
        <w:tblLook w:val="0000"/>
      </w:tblPr>
      <w:tblGrid>
        <w:gridCol w:w="2790"/>
        <w:gridCol w:w="180"/>
        <w:gridCol w:w="1350"/>
        <w:gridCol w:w="2070"/>
        <w:gridCol w:w="450"/>
        <w:gridCol w:w="2160"/>
        <w:gridCol w:w="236"/>
      </w:tblGrid>
      <w:tr w:rsidR="00CF0B19" w:rsidRPr="00C76550">
        <w:trPr>
          <w:gridAfter w:val="1"/>
          <w:wAfter w:w="236" w:type="dxa"/>
          <w:trHeight w:val="558"/>
        </w:trPr>
        <w:tc>
          <w:tcPr>
            <w:tcW w:w="2970" w:type="dxa"/>
            <w:gridSpan w:val="2"/>
            <w:tcBorders>
              <w:top w:val="nil"/>
              <w:left w:val="nil"/>
              <w:bottom w:val="nil"/>
              <w:right w:val="nil"/>
            </w:tcBorders>
            <w:vAlign w:val="bottom"/>
          </w:tcPr>
          <w:p w:rsidR="00CF0B19" w:rsidRPr="00C76550" w:rsidRDefault="00CF0B19" w:rsidP="008A18FC">
            <w:pPr>
              <w:jc w:val="both"/>
            </w:pPr>
          </w:p>
        </w:tc>
        <w:tc>
          <w:tcPr>
            <w:tcW w:w="1350" w:type="dxa"/>
            <w:tcBorders>
              <w:top w:val="nil"/>
              <w:left w:val="nil"/>
              <w:bottom w:val="nil"/>
              <w:right w:val="nil"/>
            </w:tcBorders>
            <w:vAlign w:val="bottom"/>
          </w:tcPr>
          <w:p w:rsidR="00CF0B19" w:rsidRPr="00C76550" w:rsidRDefault="00CF0B19" w:rsidP="008A18FC">
            <w:pPr>
              <w:jc w:val="both"/>
            </w:pPr>
          </w:p>
        </w:tc>
        <w:tc>
          <w:tcPr>
            <w:tcW w:w="2070" w:type="dxa"/>
            <w:tcBorders>
              <w:top w:val="nil"/>
              <w:left w:val="nil"/>
              <w:bottom w:val="nil"/>
              <w:right w:val="nil"/>
            </w:tcBorders>
            <w:vAlign w:val="bottom"/>
          </w:tcPr>
          <w:p w:rsidR="00CF0B19" w:rsidRPr="00C76550" w:rsidRDefault="00CF0B19" w:rsidP="00C05B54">
            <w:pPr>
              <w:jc w:val="center"/>
              <w:rPr>
                <w:b/>
              </w:rPr>
            </w:pPr>
            <w:r w:rsidRPr="00C76550">
              <w:rPr>
                <w:b/>
                <w:sz w:val="22"/>
                <w:szCs w:val="22"/>
              </w:rPr>
              <w:t>Current</w:t>
            </w:r>
          </w:p>
          <w:p w:rsidR="00CF0B19" w:rsidRPr="00C76550" w:rsidRDefault="00CF0B19" w:rsidP="00C05B54">
            <w:pPr>
              <w:jc w:val="center"/>
              <w:rPr>
                <w:b/>
              </w:rPr>
            </w:pPr>
            <w:r w:rsidRPr="00C76550">
              <w:rPr>
                <w:b/>
                <w:sz w:val="22"/>
                <w:szCs w:val="22"/>
              </w:rPr>
              <w:t xml:space="preserve">quarter </w:t>
            </w:r>
          </w:p>
        </w:tc>
        <w:tc>
          <w:tcPr>
            <w:tcW w:w="450" w:type="dxa"/>
            <w:tcBorders>
              <w:top w:val="nil"/>
              <w:left w:val="nil"/>
              <w:bottom w:val="nil"/>
              <w:right w:val="nil"/>
            </w:tcBorders>
            <w:vAlign w:val="bottom"/>
          </w:tcPr>
          <w:p w:rsidR="00CF0B19" w:rsidRPr="00C76550" w:rsidRDefault="00CF0B19" w:rsidP="008A18FC">
            <w:pPr>
              <w:jc w:val="both"/>
            </w:pPr>
          </w:p>
        </w:tc>
        <w:tc>
          <w:tcPr>
            <w:tcW w:w="2160" w:type="dxa"/>
            <w:tcBorders>
              <w:top w:val="nil"/>
              <w:left w:val="nil"/>
              <w:bottom w:val="nil"/>
              <w:right w:val="nil"/>
            </w:tcBorders>
            <w:vAlign w:val="bottom"/>
          </w:tcPr>
          <w:p w:rsidR="00CF0B19" w:rsidRPr="00C76550" w:rsidRDefault="00CF0B19" w:rsidP="00C05B54">
            <w:pPr>
              <w:jc w:val="center"/>
              <w:rPr>
                <w:b/>
                <w:bCs/>
              </w:rPr>
            </w:pPr>
            <w:r w:rsidRPr="00C76550">
              <w:rPr>
                <w:b/>
                <w:bCs/>
                <w:sz w:val="22"/>
                <w:szCs w:val="22"/>
              </w:rPr>
              <w:t>Current</w:t>
            </w:r>
          </w:p>
          <w:p w:rsidR="00CF0B19" w:rsidRPr="00C76550" w:rsidRDefault="00CF0B19" w:rsidP="00C05B54">
            <w:pPr>
              <w:jc w:val="center"/>
              <w:rPr>
                <w:b/>
                <w:bCs/>
              </w:rPr>
            </w:pPr>
            <w:r w:rsidRPr="00C76550">
              <w:rPr>
                <w:b/>
                <w:bCs/>
                <w:sz w:val="22"/>
                <w:szCs w:val="22"/>
              </w:rPr>
              <w:t>year-to-date</w:t>
            </w:r>
          </w:p>
        </w:tc>
      </w:tr>
      <w:tr w:rsidR="00CF0B19" w:rsidRPr="00C76550">
        <w:trPr>
          <w:gridAfter w:val="1"/>
          <w:wAfter w:w="236" w:type="dxa"/>
          <w:trHeight w:val="255"/>
        </w:trPr>
        <w:tc>
          <w:tcPr>
            <w:tcW w:w="2970" w:type="dxa"/>
            <w:gridSpan w:val="2"/>
            <w:tcBorders>
              <w:top w:val="nil"/>
              <w:left w:val="nil"/>
              <w:bottom w:val="nil"/>
              <w:right w:val="nil"/>
            </w:tcBorders>
            <w:vAlign w:val="bottom"/>
          </w:tcPr>
          <w:p w:rsidR="00CF0B19" w:rsidRPr="00C76550" w:rsidRDefault="00CF0B19" w:rsidP="008A18FC">
            <w:pPr>
              <w:jc w:val="both"/>
            </w:pPr>
          </w:p>
        </w:tc>
        <w:tc>
          <w:tcPr>
            <w:tcW w:w="1350" w:type="dxa"/>
            <w:tcBorders>
              <w:top w:val="nil"/>
              <w:left w:val="nil"/>
              <w:bottom w:val="nil"/>
              <w:right w:val="nil"/>
            </w:tcBorders>
            <w:vAlign w:val="bottom"/>
          </w:tcPr>
          <w:p w:rsidR="00CF0B19" w:rsidRPr="00C76550" w:rsidRDefault="00CF0B19" w:rsidP="008A18FC">
            <w:pPr>
              <w:jc w:val="both"/>
            </w:pPr>
          </w:p>
        </w:tc>
        <w:tc>
          <w:tcPr>
            <w:tcW w:w="2070" w:type="dxa"/>
            <w:tcBorders>
              <w:top w:val="nil"/>
              <w:left w:val="nil"/>
              <w:bottom w:val="nil"/>
              <w:right w:val="nil"/>
            </w:tcBorders>
            <w:vAlign w:val="bottom"/>
          </w:tcPr>
          <w:p w:rsidR="00CF0B19" w:rsidRPr="00C76550" w:rsidRDefault="00CF0B19" w:rsidP="00906436">
            <w:pPr>
              <w:jc w:val="center"/>
              <w:rPr>
                <w:b/>
              </w:rPr>
            </w:pPr>
          </w:p>
        </w:tc>
        <w:tc>
          <w:tcPr>
            <w:tcW w:w="450" w:type="dxa"/>
            <w:tcBorders>
              <w:top w:val="nil"/>
              <w:left w:val="nil"/>
              <w:bottom w:val="nil"/>
              <w:right w:val="nil"/>
            </w:tcBorders>
            <w:vAlign w:val="bottom"/>
          </w:tcPr>
          <w:p w:rsidR="00CF0B19" w:rsidRPr="00C76550" w:rsidRDefault="00CF0B19" w:rsidP="008A18FC">
            <w:pPr>
              <w:jc w:val="both"/>
            </w:pPr>
          </w:p>
        </w:tc>
        <w:tc>
          <w:tcPr>
            <w:tcW w:w="2160" w:type="dxa"/>
            <w:tcBorders>
              <w:top w:val="nil"/>
              <w:left w:val="nil"/>
              <w:bottom w:val="nil"/>
              <w:right w:val="nil"/>
            </w:tcBorders>
            <w:vAlign w:val="bottom"/>
          </w:tcPr>
          <w:p w:rsidR="00CF0B19" w:rsidRPr="00C76550" w:rsidRDefault="00CF0B19" w:rsidP="0012408A">
            <w:pPr>
              <w:tabs>
                <w:tab w:val="left" w:pos="432"/>
                <w:tab w:val="left" w:pos="1332"/>
              </w:tabs>
              <w:ind w:right="72"/>
              <w:rPr>
                <w:b/>
                <w:bCs/>
              </w:rPr>
            </w:pPr>
          </w:p>
        </w:tc>
      </w:tr>
      <w:tr w:rsidR="00CF0B19" w:rsidRPr="00C76550">
        <w:trPr>
          <w:trHeight w:val="255"/>
        </w:trPr>
        <w:tc>
          <w:tcPr>
            <w:tcW w:w="6390" w:type="dxa"/>
            <w:gridSpan w:val="4"/>
            <w:tcBorders>
              <w:top w:val="nil"/>
              <w:left w:val="nil"/>
              <w:bottom w:val="nil"/>
              <w:right w:val="nil"/>
            </w:tcBorders>
            <w:vAlign w:val="bottom"/>
          </w:tcPr>
          <w:p w:rsidR="00CF0B19" w:rsidRPr="00C76550" w:rsidRDefault="00CF0B19" w:rsidP="008A18FC">
            <w:pPr>
              <w:jc w:val="both"/>
              <w:rPr>
                <w:b/>
              </w:rPr>
            </w:pPr>
            <w:r w:rsidRPr="00C76550">
              <w:rPr>
                <w:sz w:val="22"/>
                <w:szCs w:val="22"/>
              </w:rPr>
              <w:t xml:space="preserve">                                                                                        </w:t>
            </w:r>
            <w:r w:rsidRPr="00C76550">
              <w:rPr>
                <w:b/>
                <w:sz w:val="22"/>
                <w:szCs w:val="22"/>
              </w:rPr>
              <w:t>RM’000</w:t>
            </w:r>
          </w:p>
        </w:tc>
        <w:tc>
          <w:tcPr>
            <w:tcW w:w="450" w:type="dxa"/>
            <w:tcBorders>
              <w:top w:val="nil"/>
              <w:left w:val="nil"/>
              <w:bottom w:val="nil"/>
              <w:right w:val="nil"/>
            </w:tcBorders>
            <w:vAlign w:val="bottom"/>
          </w:tcPr>
          <w:p w:rsidR="00CF0B19" w:rsidRPr="00C76550" w:rsidRDefault="00CF0B19" w:rsidP="008A18FC">
            <w:pPr>
              <w:jc w:val="both"/>
            </w:pPr>
          </w:p>
        </w:tc>
        <w:tc>
          <w:tcPr>
            <w:tcW w:w="2160" w:type="dxa"/>
            <w:tcBorders>
              <w:top w:val="nil"/>
              <w:left w:val="nil"/>
              <w:bottom w:val="nil"/>
              <w:right w:val="nil"/>
            </w:tcBorders>
            <w:vAlign w:val="bottom"/>
          </w:tcPr>
          <w:p w:rsidR="00CF0B19" w:rsidRPr="00C76550" w:rsidRDefault="00CF0B19" w:rsidP="00C05B54">
            <w:pPr>
              <w:jc w:val="center"/>
              <w:rPr>
                <w:b/>
                <w:bCs/>
              </w:rPr>
            </w:pPr>
            <w:r w:rsidRPr="00C76550">
              <w:rPr>
                <w:b/>
                <w:bCs/>
                <w:sz w:val="22"/>
                <w:szCs w:val="22"/>
              </w:rPr>
              <w:t>RM' 000</w:t>
            </w:r>
          </w:p>
        </w:tc>
        <w:tc>
          <w:tcPr>
            <w:tcW w:w="236" w:type="dxa"/>
            <w:tcBorders>
              <w:top w:val="nil"/>
              <w:left w:val="nil"/>
              <w:bottom w:val="nil"/>
              <w:right w:val="nil"/>
            </w:tcBorders>
            <w:vAlign w:val="bottom"/>
          </w:tcPr>
          <w:p w:rsidR="00CF0B19" w:rsidRPr="00C76550" w:rsidRDefault="00CF0B19" w:rsidP="008A18FC">
            <w:pPr>
              <w:jc w:val="both"/>
              <w:rPr>
                <w:b/>
                <w:bCs/>
              </w:rPr>
            </w:pPr>
          </w:p>
        </w:tc>
      </w:tr>
      <w:tr w:rsidR="00CF0B19" w:rsidRPr="00C76550" w:rsidTr="0019354A">
        <w:trPr>
          <w:trHeight w:val="387"/>
        </w:trPr>
        <w:tc>
          <w:tcPr>
            <w:tcW w:w="2970" w:type="dxa"/>
            <w:gridSpan w:val="2"/>
            <w:tcBorders>
              <w:top w:val="nil"/>
              <w:left w:val="nil"/>
              <w:bottom w:val="nil"/>
              <w:right w:val="nil"/>
            </w:tcBorders>
            <w:vAlign w:val="bottom"/>
          </w:tcPr>
          <w:p w:rsidR="00CF0B19" w:rsidRPr="00C76550" w:rsidRDefault="00CF0B19" w:rsidP="00AD2289">
            <w:pPr>
              <w:jc w:val="both"/>
            </w:pPr>
            <w:r w:rsidRPr="00C76550">
              <w:rPr>
                <w:sz w:val="22"/>
                <w:szCs w:val="22"/>
              </w:rPr>
              <w:t>Current:</w:t>
            </w:r>
          </w:p>
        </w:tc>
        <w:tc>
          <w:tcPr>
            <w:tcW w:w="1350" w:type="dxa"/>
            <w:tcBorders>
              <w:top w:val="nil"/>
              <w:left w:val="nil"/>
              <w:bottom w:val="nil"/>
              <w:right w:val="nil"/>
            </w:tcBorders>
            <w:vAlign w:val="bottom"/>
          </w:tcPr>
          <w:p w:rsidR="00CF0B19" w:rsidRPr="00C76550" w:rsidRDefault="00CF0B19" w:rsidP="008A18FC">
            <w:pPr>
              <w:jc w:val="both"/>
            </w:pPr>
          </w:p>
        </w:tc>
        <w:tc>
          <w:tcPr>
            <w:tcW w:w="2070" w:type="dxa"/>
            <w:tcBorders>
              <w:top w:val="nil"/>
              <w:left w:val="nil"/>
              <w:bottom w:val="single" w:sz="4" w:space="0" w:color="auto"/>
              <w:right w:val="nil"/>
            </w:tcBorders>
            <w:vAlign w:val="bottom"/>
          </w:tcPr>
          <w:p w:rsidR="00CF0B19" w:rsidRPr="00C76550" w:rsidRDefault="00CF0B19" w:rsidP="008A18FC">
            <w:pPr>
              <w:jc w:val="both"/>
            </w:pPr>
          </w:p>
        </w:tc>
        <w:tc>
          <w:tcPr>
            <w:tcW w:w="450" w:type="dxa"/>
            <w:tcBorders>
              <w:top w:val="nil"/>
              <w:left w:val="nil"/>
              <w:bottom w:val="single" w:sz="4" w:space="0" w:color="auto"/>
              <w:right w:val="nil"/>
            </w:tcBorders>
            <w:vAlign w:val="bottom"/>
          </w:tcPr>
          <w:p w:rsidR="00CF0B19" w:rsidRPr="00C76550" w:rsidRDefault="00CF0B19" w:rsidP="008A18FC">
            <w:pPr>
              <w:jc w:val="both"/>
            </w:pPr>
          </w:p>
        </w:tc>
        <w:tc>
          <w:tcPr>
            <w:tcW w:w="2160" w:type="dxa"/>
            <w:tcBorders>
              <w:top w:val="nil"/>
              <w:left w:val="nil"/>
              <w:bottom w:val="single" w:sz="4" w:space="0" w:color="auto"/>
              <w:right w:val="nil"/>
            </w:tcBorders>
            <w:vAlign w:val="bottom"/>
          </w:tcPr>
          <w:p w:rsidR="00CF0B19" w:rsidRPr="00C76550" w:rsidRDefault="00CF0B19" w:rsidP="008A18FC">
            <w:pPr>
              <w:jc w:val="both"/>
            </w:pPr>
          </w:p>
        </w:tc>
        <w:tc>
          <w:tcPr>
            <w:tcW w:w="236" w:type="dxa"/>
            <w:tcBorders>
              <w:top w:val="nil"/>
              <w:left w:val="nil"/>
              <w:bottom w:val="nil"/>
              <w:right w:val="nil"/>
            </w:tcBorders>
            <w:vAlign w:val="bottom"/>
          </w:tcPr>
          <w:p w:rsidR="00CF0B19" w:rsidRPr="00C76550" w:rsidRDefault="00CF0B19" w:rsidP="008A18FC">
            <w:pPr>
              <w:jc w:val="both"/>
            </w:pPr>
          </w:p>
        </w:tc>
      </w:tr>
      <w:tr w:rsidR="00CF0B19" w:rsidRPr="00C76550" w:rsidTr="0019354A">
        <w:trPr>
          <w:trHeight w:val="387"/>
        </w:trPr>
        <w:tc>
          <w:tcPr>
            <w:tcW w:w="2970" w:type="dxa"/>
            <w:gridSpan w:val="2"/>
            <w:tcBorders>
              <w:top w:val="nil"/>
              <w:left w:val="nil"/>
              <w:bottom w:val="nil"/>
              <w:right w:val="nil"/>
            </w:tcBorders>
            <w:vAlign w:val="bottom"/>
          </w:tcPr>
          <w:p w:rsidR="00CF0B19" w:rsidRPr="00C76550" w:rsidRDefault="00CF0B19" w:rsidP="008A18FC">
            <w:pPr>
              <w:jc w:val="both"/>
            </w:pPr>
            <w:r w:rsidRPr="00C76550">
              <w:rPr>
                <w:sz w:val="22"/>
                <w:szCs w:val="22"/>
              </w:rPr>
              <w:t>- Income tax</w:t>
            </w:r>
          </w:p>
        </w:tc>
        <w:tc>
          <w:tcPr>
            <w:tcW w:w="1350" w:type="dxa"/>
            <w:tcBorders>
              <w:top w:val="nil"/>
              <w:left w:val="nil"/>
              <w:bottom w:val="nil"/>
              <w:right w:val="single" w:sz="4" w:space="0" w:color="auto"/>
            </w:tcBorders>
            <w:vAlign w:val="bottom"/>
          </w:tcPr>
          <w:p w:rsidR="00CF0B19" w:rsidRPr="00C76550" w:rsidRDefault="00CF0B19" w:rsidP="008A18FC">
            <w:pPr>
              <w:jc w:val="both"/>
            </w:pPr>
          </w:p>
        </w:tc>
        <w:tc>
          <w:tcPr>
            <w:tcW w:w="2070" w:type="dxa"/>
            <w:tcBorders>
              <w:top w:val="single" w:sz="4" w:space="0" w:color="auto"/>
              <w:left w:val="single" w:sz="4" w:space="0" w:color="auto"/>
              <w:bottom w:val="nil"/>
              <w:right w:val="nil"/>
            </w:tcBorders>
            <w:vAlign w:val="bottom"/>
          </w:tcPr>
          <w:p w:rsidR="00CF0B19" w:rsidRPr="00C76550" w:rsidRDefault="00CF0B19" w:rsidP="00167B7B">
            <w:pPr>
              <w:jc w:val="both"/>
            </w:pPr>
            <w:r w:rsidRPr="00C76550">
              <w:rPr>
                <w:sz w:val="22"/>
                <w:szCs w:val="22"/>
              </w:rPr>
              <w:t xml:space="preserve">               2,826</w:t>
            </w:r>
          </w:p>
        </w:tc>
        <w:tc>
          <w:tcPr>
            <w:tcW w:w="450" w:type="dxa"/>
            <w:tcBorders>
              <w:top w:val="single" w:sz="4" w:space="0" w:color="auto"/>
              <w:left w:val="nil"/>
              <w:bottom w:val="nil"/>
              <w:right w:val="nil"/>
            </w:tcBorders>
            <w:vAlign w:val="bottom"/>
          </w:tcPr>
          <w:p w:rsidR="00CF0B19" w:rsidRPr="00C76550" w:rsidRDefault="00CF0B19" w:rsidP="008A18FC">
            <w:pPr>
              <w:jc w:val="both"/>
            </w:pPr>
          </w:p>
        </w:tc>
        <w:tc>
          <w:tcPr>
            <w:tcW w:w="2160" w:type="dxa"/>
            <w:tcBorders>
              <w:top w:val="single" w:sz="4" w:space="0" w:color="auto"/>
              <w:left w:val="nil"/>
              <w:bottom w:val="nil"/>
              <w:right w:val="single" w:sz="4" w:space="0" w:color="auto"/>
            </w:tcBorders>
            <w:vAlign w:val="bottom"/>
          </w:tcPr>
          <w:p w:rsidR="00CF0B19" w:rsidRPr="00C76550" w:rsidRDefault="00CF0B19" w:rsidP="00017EDF">
            <w:pPr>
              <w:jc w:val="both"/>
            </w:pPr>
            <w:r w:rsidRPr="00C76550">
              <w:rPr>
                <w:sz w:val="22"/>
                <w:szCs w:val="22"/>
              </w:rPr>
              <w:t xml:space="preserve">              28,420</w:t>
            </w:r>
          </w:p>
        </w:tc>
        <w:tc>
          <w:tcPr>
            <w:tcW w:w="236" w:type="dxa"/>
            <w:tcBorders>
              <w:top w:val="nil"/>
              <w:left w:val="single" w:sz="4" w:space="0" w:color="auto"/>
              <w:bottom w:val="nil"/>
              <w:right w:val="nil"/>
            </w:tcBorders>
            <w:vAlign w:val="bottom"/>
          </w:tcPr>
          <w:p w:rsidR="00CF0B19" w:rsidRPr="00C76550" w:rsidRDefault="00CF0B19" w:rsidP="008A18FC">
            <w:pPr>
              <w:jc w:val="both"/>
            </w:pPr>
          </w:p>
        </w:tc>
      </w:tr>
      <w:tr w:rsidR="00CF0B19" w:rsidRPr="00C76550" w:rsidTr="0019354A">
        <w:trPr>
          <w:trHeight w:val="387"/>
        </w:trPr>
        <w:tc>
          <w:tcPr>
            <w:tcW w:w="2970" w:type="dxa"/>
            <w:gridSpan w:val="2"/>
            <w:tcBorders>
              <w:top w:val="nil"/>
              <w:left w:val="nil"/>
              <w:bottom w:val="nil"/>
              <w:right w:val="nil"/>
            </w:tcBorders>
            <w:vAlign w:val="bottom"/>
          </w:tcPr>
          <w:p w:rsidR="00CF0B19" w:rsidRPr="00C76550" w:rsidRDefault="00CF0B19" w:rsidP="00936AD8">
            <w:pPr>
              <w:jc w:val="both"/>
            </w:pPr>
            <w:r w:rsidRPr="00C76550">
              <w:rPr>
                <w:sz w:val="22"/>
                <w:szCs w:val="22"/>
              </w:rPr>
              <w:t>- Deferred tax</w:t>
            </w:r>
          </w:p>
        </w:tc>
        <w:tc>
          <w:tcPr>
            <w:tcW w:w="1350" w:type="dxa"/>
            <w:tcBorders>
              <w:top w:val="nil"/>
              <w:left w:val="nil"/>
              <w:bottom w:val="nil"/>
              <w:right w:val="single" w:sz="4" w:space="0" w:color="auto"/>
            </w:tcBorders>
            <w:vAlign w:val="bottom"/>
          </w:tcPr>
          <w:p w:rsidR="00CF0B19" w:rsidRPr="00C76550" w:rsidRDefault="00CF0B19" w:rsidP="00936AD8">
            <w:pPr>
              <w:jc w:val="both"/>
            </w:pPr>
          </w:p>
        </w:tc>
        <w:tc>
          <w:tcPr>
            <w:tcW w:w="2070" w:type="dxa"/>
            <w:tcBorders>
              <w:top w:val="nil"/>
              <w:left w:val="single" w:sz="4" w:space="0" w:color="auto"/>
              <w:bottom w:val="single" w:sz="4" w:space="0" w:color="auto"/>
              <w:right w:val="nil"/>
            </w:tcBorders>
            <w:vAlign w:val="bottom"/>
          </w:tcPr>
          <w:p w:rsidR="00CF0B19" w:rsidRPr="00C76550" w:rsidRDefault="00CF0B19" w:rsidP="00936AD8">
            <w:pPr>
              <w:jc w:val="both"/>
            </w:pPr>
            <w:r w:rsidRPr="00C76550">
              <w:rPr>
                <w:sz w:val="22"/>
                <w:szCs w:val="22"/>
              </w:rPr>
              <w:t xml:space="preserve">                (197) </w:t>
            </w:r>
          </w:p>
        </w:tc>
        <w:tc>
          <w:tcPr>
            <w:tcW w:w="450" w:type="dxa"/>
            <w:tcBorders>
              <w:top w:val="nil"/>
              <w:left w:val="nil"/>
              <w:bottom w:val="single" w:sz="4" w:space="0" w:color="auto"/>
              <w:right w:val="nil"/>
            </w:tcBorders>
            <w:vAlign w:val="bottom"/>
          </w:tcPr>
          <w:p w:rsidR="00CF0B19" w:rsidRPr="00C76550" w:rsidRDefault="00CF0B19" w:rsidP="00936AD8">
            <w:pPr>
              <w:jc w:val="both"/>
            </w:pPr>
          </w:p>
        </w:tc>
        <w:tc>
          <w:tcPr>
            <w:tcW w:w="2160" w:type="dxa"/>
            <w:tcBorders>
              <w:top w:val="nil"/>
              <w:left w:val="nil"/>
              <w:bottom w:val="single" w:sz="4" w:space="0" w:color="auto"/>
              <w:right w:val="single" w:sz="4" w:space="0" w:color="auto"/>
            </w:tcBorders>
            <w:vAlign w:val="bottom"/>
          </w:tcPr>
          <w:p w:rsidR="00CF0B19" w:rsidRPr="00C76550" w:rsidRDefault="00CF0B19" w:rsidP="00936AD8">
            <w:pPr>
              <w:jc w:val="both"/>
            </w:pPr>
            <w:r w:rsidRPr="00C76550">
              <w:rPr>
                <w:sz w:val="22"/>
                <w:szCs w:val="22"/>
              </w:rPr>
              <w:t xml:space="preserve">             (5,197)</w:t>
            </w:r>
          </w:p>
        </w:tc>
        <w:tc>
          <w:tcPr>
            <w:tcW w:w="236" w:type="dxa"/>
            <w:tcBorders>
              <w:top w:val="nil"/>
              <w:left w:val="single" w:sz="4" w:space="0" w:color="auto"/>
              <w:bottom w:val="nil"/>
              <w:right w:val="nil"/>
            </w:tcBorders>
            <w:vAlign w:val="bottom"/>
          </w:tcPr>
          <w:p w:rsidR="00CF0B19" w:rsidRPr="00C76550" w:rsidRDefault="00CF0B19" w:rsidP="00936AD8">
            <w:pPr>
              <w:jc w:val="both"/>
            </w:pPr>
          </w:p>
        </w:tc>
      </w:tr>
      <w:tr w:rsidR="00CF0B19" w:rsidRPr="00C76550" w:rsidTr="0019354A">
        <w:trPr>
          <w:trHeight w:val="387"/>
        </w:trPr>
        <w:tc>
          <w:tcPr>
            <w:tcW w:w="2970" w:type="dxa"/>
            <w:gridSpan w:val="2"/>
            <w:tcBorders>
              <w:top w:val="nil"/>
              <w:left w:val="nil"/>
              <w:bottom w:val="nil"/>
              <w:right w:val="nil"/>
            </w:tcBorders>
            <w:vAlign w:val="bottom"/>
          </w:tcPr>
          <w:p w:rsidR="00CF0B19" w:rsidRPr="00C76550" w:rsidRDefault="00CF0B19" w:rsidP="00936AD8">
            <w:pPr>
              <w:jc w:val="both"/>
            </w:pPr>
          </w:p>
        </w:tc>
        <w:tc>
          <w:tcPr>
            <w:tcW w:w="1350" w:type="dxa"/>
            <w:tcBorders>
              <w:top w:val="nil"/>
              <w:left w:val="nil"/>
              <w:bottom w:val="nil"/>
              <w:right w:val="nil"/>
            </w:tcBorders>
            <w:vAlign w:val="bottom"/>
          </w:tcPr>
          <w:p w:rsidR="00CF0B19" w:rsidRPr="00C76550" w:rsidRDefault="00CF0B19" w:rsidP="00936AD8">
            <w:pPr>
              <w:jc w:val="both"/>
            </w:pPr>
          </w:p>
        </w:tc>
        <w:tc>
          <w:tcPr>
            <w:tcW w:w="2070" w:type="dxa"/>
            <w:tcBorders>
              <w:top w:val="single" w:sz="4" w:space="0" w:color="auto"/>
              <w:left w:val="nil"/>
              <w:bottom w:val="nil"/>
              <w:right w:val="nil"/>
            </w:tcBorders>
            <w:vAlign w:val="bottom"/>
          </w:tcPr>
          <w:p w:rsidR="00CF0B19" w:rsidRPr="00C76550" w:rsidRDefault="00CF0B19" w:rsidP="00936AD8">
            <w:pPr>
              <w:jc w:val="both"/>
            </w:pPr>
            <w:r w:rsidRPr="00C76550">
              <w:rPr>
                <w:sz w:val="22"/>
                <w:szCs w:val="22"/>
              </w:rPr>
              <w:t xml:space="preserve">               2,629</w:t>
            </w:r>
          </w:p>
        </w:tc>
        <w:tc>
          <w:tcPr>
            <w:tcW w:w="450" w:type="dxa"/>
            <w:tcBorders>
              <w:top w:val="single" w:sz="4" w:space="0" w:color="auto"/>
              <w:left w:val="nil"/>
              <w:bottom w:val="nil"/>
              <w:right w:val="nil"/>
            </w:tcBorders>
            <w:vAlign w:val="bottom"/>
          </w:tcPr>
          <w:p w:rsidR="00CF0B19" w:rsidRPr="00C76550" w:rsidRDefault="00CF0B19" w:rsidP="00936AD8">
            <w:pPr>
              <w:jc w:val="both"/>
            </w:pPr>
          </w:p>
        </w:tc>
        <w:tc>
          <w:tcPr>
            <w:tcW w:w="2160" w:type="dxa"/>
            <w:tcBorders>
              <w:top w:val="single" w:sz="4" w:space="0" w:color="auto"/>
              <w:left w:val="nil"/>
              <w:bottom w:val="nil"/>
              <w:right w:val="nil"/>
            </w:tcBorders>
            <w:vAlign w:val="bottom"/>
          </w:tcPr>
          <w:p w:rsidR="00CF0B19" w:rsidRPr="00C76550" w:rsidRDefault="00CF0B19" w:rsidP="00936AD8">
            <w:pPr>
              <w:jc w:val="both"/>
            </w:pPr>
            <w:r w:rsidRPr="00C76550">
              <w:rPr>
                <w:sz w:val="22"/>
                <w:szCs w:val="22"/>
              </w:rPr>
              <w:t xml:space="preserve">              23,223</w:t>
            </w:r>
          </w:p>
        </w:tc>
        <w:tc>
          <w:tcPr>
            <w:tcW w:w="236" w:type="dxa"/>
            <w:tcBorders>
              <w:top w:val="nil"/>
              <w:left w:val="nil"/>
              <w:bottom w:val="nil"/>
              <w:right w:val="nil"/>
            </w:tcBorders>
            <w:vAlign w:val="bottom"/>
          </w:tcPr>
          <w:p w:rsidR="00CF0B19" w:rsidRPr="00C76550" w:rsidRDefault="00CF0B19" w:rsidP="00936AD8">
            <w:pPr>
              <w:jc w:val="both"/>
            </w:pPr>
          </w:p>
        </w:tc>
      </w:tr>
      <w:tr w:rsidR="00CF0B19" w:rsidRPr="00C76550" w:rsidTr="0019354A">
        <w:trPr>
          <w:trHeight w:val="387"/>
        </w:trPr>
        <w:tc>
          <w:tcPr>
            <w:tcW w:w="2970" w:type="dxa"/>
            <w:gridSpan w:val="2"/>
            <w:tcBorders>
              <w:top w:val="nil"/>
              <w:left w:val="nil"/>
              <w:bottom w:val="nil"/>
              <w:right w:val="nil"/>
            </w:tcBorders>
            <w:vAlign w:val="bottom"/>
          </w:tcPr>
          <w:p w:rsidR="00CF0B19" w:rsidRPr="00C76550" w:rsidRDefault="00CF0B19" w:rsidP="00936AD8">
            <w:pPr>
              <w:jc w:val="both"/>
            </w:pPr>
          </w:p>
          <w:p w:rsidR="00CF0B19" w:rsidRPr="00C76550" w:rsidRDefault="00CF0B19" w:rsidP="0019354A">
            <w:pPr>
              <w:jc w:val="both"/>
            </w:pPr>
            <w:r w:rsidRPr="00C76550">
              <w:rPr>
                <w:sz w:val="22"/>
                <w:szCs w:val="22"/>
              </w:rPr>
              <w:t>Prior year:</w:t>
            </w:r>
          </w:p>
        </w:tc>
        <w:tc>
          <w:tcPr>
            <w:tcW w:w="1350" w:type="dxa"/>
            <w:tcBorders>
              <w:top w:val="nil"/>
              <w:left w:val="nil"/>
              <w:bottom w:val="nil"/>
              <w:right w:val="nil"/>
            </w:tcBorders>
            <w:vAlign w:val="bottom"/>
          </w:tcPr>
          <w:p w:rsidR="00CF0B19" w:rsidRPr="00C76550" w:rsidRDefault="00CF0B19" w:rsidP="00936AD8">
            <w:pPr>
              <w:jc w:val="both"/>
            </w:pPr>
          </w:p>
        </w:tc>
        <w:tc>
          <w:tcPr>
            <w:tcW w:w="2070" w:type="dxa"/>
            <w:tcBorders>
              <w:top w:val="nil"/>
              <w:left w:val="nil"/>
              <w:bottom w:val="single" w:sz="4" w:space="0" w:color="auto"/>
              <w:right w:val="nil"/>
            </w:tcBorders>
            <w:vAlign w:val="bottom"/>
          </w:tcPr>
          <w:p w:rsidR="00CF0B19" w:rsidRPr="00C76550" w:rsidRDefault="00CF0B19" w:rsidP="00936AD8">
            <w:pPr>
              <w:jc w:val="both"/>
            </w:pPr>
            <w:r w:rsidRPr="00C76550">
              <w:rPr>
                <w:sz w:val="22"/>
                <w:szCs w:val="22"/>
              </w:rPr>
              <w:t xml:space="preserve">              </w:t>
            </w:r>
          </w:p>
        </w:tc>
        <w:tc>
          <w:tcPr>
            <w:tcW w:w="450" w:type="dxa"/>
            <w:tcBorders>
              <w:top w:val="nil"/>
              <w:left w:val="nil"/>
              <w:bottom w:val="single" w:sz="4" w:space="0" w:color="auto"/>
              <w:right w:val="nil"/>
            </w:tcBorders>
            <w:vAlign w:val="bottom"/>
          </w:tcPr>
          <w:p w:rsidR="00CF0B19" w:rsidRPr="00C76550" w:rsidRDefault="00CF0B19" w:rsidP="00936AD8">
            <w:pPr>
              <w:jc w:val="both"/>
            </w:pPr>
          </w:p>
        </w:tc>
        <w:tc>
          <w:tcPr>
            <w:tcW w:w="2160" w:type="dxa"/>
            <w:tcBorders>
              <w:top w:val="nil"/>
              <w:left w:val="nil"/>
              <w:bottom w:val="single" w:sz="4" w:space="0" w:color="auto"/>
              <w:right w:val="nil"/>
            </w:tcBorders>
            <w:vAlign w:val="bottom"/>
          </w:tcPr>
          <w:p w:rsidR="00CF0B19" w:rsidRPr="00C76550" w:rsidRDefault="00CF0B19" w:rsidP="00936AD8">
            <w:pPr>
              <w:jc w:val="both"/>
            </w:pPr>
            <w:r w:rsidRPr="00C76550">
              <w:rPr>
                <w:sz w:val="22"/>
                <w:szCs w:val="22"/>
              </w:rPr>
              <w:t xml:space="preserve">              </w:t>
            </w:r>
          </w:p>
        </w:tc>
        <w:tc>
          <w:tcPr>
            <w:tcW w:w="236" w:type="dxa"/>
            <w:tcBorders>
              <w:top w:val="nil"/>
              <w:left w:val="nil"/>
              <w:bottom w:val="nil"/>
              <w:right w:val="nil"/>
            </w:tcBorders>
            <w:vAlign w:val="bottom"/>
          </w:tcPr>
          <w:p w:rsidR="00CF0B19" w:rsidRPr="00C76550" w:rsidRDefault="00CF0B19" w:rsidP="00936AD8">
            <w:pPr>
              <w:jc w:val="both"/>
            </w:pPr>
          </w:p>
        </w:tc>
      </w:tr>
      <w:tr w:rsidR="00CF0B19" w:rsidRPr="00C76550" w:rsidTr="0019354A">
        <w:trPr>
          <w:trHeight w:val="387"/>
        </w:trPr>
        <w:tc>
          <w:tcPr>
            <w:tcW w:w="2970" w:type="dxa"/>
            <w:gridSpan w:val="2"/>
            <w:tcBorders>
              <w:top w:val="nil"/>
              <w:left w:val="nil"/>
              <w:bottom w:val="nil"/>
              <w:right w:val="nil"/>
            </w:tcBorders>
            <w:vAlign w:val="bottom"/>
          </w:tcPr>
          <w:p w:rsidR="00CF0B19" w:rsidRPr="00C76550" w:rsidRDefault="00CF0B19" w:rsidP="00936AD8">
            <w:pPr>
              <w:jc w:val="both"/>
            </w:pPr>
            <w:r w:rsidRPr="00C76550">
              <w:rPr>
                <w:sz w:val="22"/>
                <w:szCs w:val="22"/>
              </w:rPr>
              <w:t>- Income tax</w:t>
            </w:r>
          </w:p>
        </w:tc>
        <w:tc>
          <w:tcPr>
            <w:tcW w:w="1350" w:type="dxa"/>
            <w:tcBorders>
              <w:top w:val="nil"/>
              <w:left w:val="nil"/>
              <w:bottom w:val="nil"/>
              <w:right w:val="single" w:sz="4" w:space="0" w:color="auto"/>
            </w:tcBorders>
            <w:vAlign w:val="bottom"/>
          </w:tcPr>
          <w:p w:rsidR="00CF0B19" w:rsidRPr="00C76550" w:rsidRDefault="00CF0B19" w:rsidP="00936AD8">
            <w:pPr>
              <w:jc w:val="both"/>
            </w:pPr>
          </w:p>
        </w:tc>
        <w:tc>
          <w:tcPr>
            <w:tcW w:w="2070" w:type="dxa"/>
            <w:tcBorders>
              <w:top w:val="single" w:sz="4" w:space="0" w:color="auto"/>
              <w:left w:val="single" w:sz="4" w:space="0" w:color="auto"/>
              <w:bottom w:val="nil"/>
              <w:right w:val="nil"/>
            </w:tcBorders>
            <w:vAlign w:val="bottom"/>
          </w:tcPr>
          <w:p w:rsidR="00CF0B19" w:rsidRPr="00C76550" w:rsidRDefault="00CF0B19" w:rsidP="00936AD8">
            <w:pPr>
              <w:jc w:val="both"/>
            </w:pPr>
            <w:r w:rsidRPr="00C76550">
              <w:rPr>
                <w:sz w:val="22"/>
                <w:szCs w:val="22"/>
              </w:rPr>
              <w:t xml:space="preserve">                      -</w:t>
            </w:r>
          </w:p>
        </w:tc>
        <w:tc>
          <w:tcPr>
            <w:tcW w:w="450" w:type="dxa"/>
            <w:tcBorders>
              <w:top w:val="single" w:sz="4" w:space="0" w:color="auto"/>
              <w:left w:val="nil"/>
              <w:bottom w:val="nil"/>
              <w:right w:val="nil"/>
            </w:tcBorders>
            <w:vAlign w:val="bottom"/>
          </w:tcPr>
          <w:p w:rsidR="00CF0B19" w:rsidRPr="00C76550" w:rsidRDefault="00CF0B19" w:rsidP="00936AD8">
            <w:pPr>
              <w:jc w:val="both"/>
            </w:pPr>
          </w:p>
        </w:tc>
        <w:tc>
          <w:tcPr>
            <w:tcW w:w="2160" w:type="dxa"/>
            <w:tcBorders>
              <w:top w:val="single" w:sz="4" w:space="0" w:color="auto"/>
              <w:left w:val="nil"/>
              <w:bottom w:val="nil"/>
              <w:right w:val="single" w:sz="4" w:space="0" w:color="auto"/>
            </w:tcBorders>
            <w:vAlign w:val="bottom"/>
          </w:tcPr>
          <w:p w:rsidR="00CF0B19" w:rsidRPr="00C76550" w:rsidRDefault="00CF0B19" w:rsidP="00936AD8">
            <w:pPr>
              <w:jc w:val="both"/>
            </w:pPr>
            <w:r w:rsidRPr="00C76550">
              <w:rPr>
                <w:sz w:val="22"/>
                <w:szCs w:val="22"/>
              </w:rPr>
              <w:t xml:space="preserve">                   448</w:t>
            </w:r>
          </w:p>
        </w:tc>
        <w:tc>
          <w:tcPr>
            <w:tcW w:w="236" w:type="dxa"/>
            <w:tcBorders>
              <w:top w:val="nil"/>
              <w:left w:val="single" w:sz="4" w:space="0" w:color="auto"/>
              <w:bottom w:val="nil"/>
              <w:right w:val="nil"/>
            </w:tcBorders>
            <w:vAlign w:val="bottom"/>
          </w:tcPr>
          <w:p w:rsidR="00CF0B19" w:rsidRPr="00C76550" w:rsidRDefault="00CF0B19" w:rsidP="00936AD8">
            <w:pPr>
              <w:jc w:val="both"/>
            </w:pPr>
          </w:p>
        </w:tc>
      </w:tr>
      <w:tr w:rsidR="00CF0B19" w:rsidRPr="00C76550" w:rsidTr="0019354A">
        <w:trPr>
          <w:trHeight w:val="387"/>
        </w:trPr>
        <w:tc>
          <w:tcPr>
            <w:tcW w:w="2970" w:type="dxa"/>
            <w:gridSpan w:val="2"/>
            <w:tcBorders>
              <w:top w:val="nil"/>
              <w:left w:val="nil"/>
              <w:bottom w:val="nil"/>
              <w:right w:val="nil"/>
            </w:tcBorders>
            <w:vAlign w:val="bottom"/>
          </w:tcPr>
          <w:p w:rsidR="00CF0B19" w:rsidRPr="00C76550" w:rsidRDefault="00CF0B19" w:rsidP="00936AD8">
            <w:pPr>
              <w:jc w:val="both"/>
            </w:pPr>
            <w:r w:rsidRPr="00C76550">
              <w:rPr>
                <w:sz w:val="22"/>
                <w:szCs w:val="22"/>
              </w:rPr>
              <w:t>- Deferred tax</w:t>
            </w:r>
          </w:p>
        </w:tc>
        <w:tc>
          <w:tcPr>
            <w:tcW w:w="1350" w:type="dxa"/>
            <w:tcBorders>
              <w:top w:val="nil"/>
              <w:left w:val="nil"/>
              <w:bottom w:val="nil"/>
              <w:right w:val="single" w:sz="4" w:space="0" w:color="auto"/>
            </w:tcBorders>
            <w:vAlign w:val="bottom"/>
          </w:tcPr>
          <w:p w:rsidR="00CF0B19" w:rsidRPr="00C76550" w:rsidRDefault="00CF0B19" w:rsidP="00936AD8">
            <w:pPr>
              <w:jc w:val="both"/>
            </w:pPr>
          </w:p>
        </w:tc>
        <w:tc>
          <w:tcPr>
            <w:tcW w:w="2070" w:type="dxa"/>
            <w:tcBorders>
              <w:top w:val="nil"/>
              <w:left w:val="single" w:sz="4" w:space="0" w:color="auto"/>
              <w:bottom w:val="single" w:sz="4" w:space="0" w:color="auto"/>
              <w:right w:val="nil"/>
            </w:tcBorders>
            <w:vAlign w:val="bottom"/>
          </w:tcPr>
          <w:p w:rsidR="00CF0B19" w:rsidRPr="00C76550" w:rsidRDefault="00CF0B19" w:rsidP="00936AD8">
            <w:pPr>
              <w:jc w:val="both"/>
            </w:pPr>
            <w:r w:rsidRPr="00C76550">
              <w:rPr>
                <w:sz w:val="22"/>
                <w:szCs w:val="22"/>
              </w:rPr>
              <w:t xml:space="preserve">                      -</w:t>
            </w:r>
          </w:p>
        </w:tc>
        <w:tc>
          <w:tcPr>
            <w:tcW w:w="450" w:type="dxa"/>
            <w:tcBorders>
              <w:top w:val="nil"/>
              <w:left w:val="nil"/>
              <w:bottom w:val="single" w:sz="4" w:space="0" w:color="auto"/>
              <w:right w:val="nil"/>
            </w:tcBorders>
            <w:vAlign w:val="bottom"/>
          </w:tcPr>
          <w:p w:rsidR="00CF0B19" w:rsidRPr="00C76550" w:rsidRDefault="00CF0B19" w:rsidP="00936AD8">
            <w:pPr>
              <w:jc w:val="both"/>
            </w:pPr>
          </w:p>
        </w:tc>
        <w:tc>
          <w:tcPr>
            <w:tcW w:w="2160" w:type="dxa"/>
            <w:tcBorders>
              <w:top w:val="nil"/>
              <w:left w:val="nil"/>
              <w:bottom w:val="single" w:sz="4" w:space="0" w:color="auto"/>
              <w:right w:val="single" w:sz="4" w:space="0" w:color="auto"/>
            </w:tcBorders>
            <w:vAlign w:val="bottom"/>
          </w:tcPr>
          <w:p w:rsidR="00CF0B19" w:rsidRPr="00C76550" w:rsidRDefault="00CF0B19" w:rsidP="00936AD8">
            <w:pPr>
              <w:jc w:val="both"/>
            </w:pPr>
            <w:r w:rsidRPr="00C76550">
              <w:rPr>
                <w:sz w:val="22"/>
                <w:szCs w:val="22"/>
              </w:rPr>
              <w:t xml:space="preserve">                1,924</w:t>
            </w:r>
          </w:p>
        </w:tc>
        <w:tc>
          <w:tcPr>
            <w:tcW w:w="236" w:type="dxa"/>
            <w:tcBorders>
              <w:top w:val="nil"/>
              <w:left w:val="single" w:sz="4" w:space="0" w:color="auto"/>
              <w:bottom w:val="nil"/>
              <w:right w:val="nil"/>
            </w:tcBorders>
            <w:vAlign w:val="bottom"/>
          </w:tcPr>
          <w:p w:rsidR="00CF0B19" w:rsidRPr="00C76550" w:rsidRDefault="00CF0B19" w:rsidP="00936AD8">
            <w:pPr>
              <w:jc w:val="both"/>
            </w:pPr>
          </w:p>
        </w:tc>
      </w:tr>
      <w:tr w:rsidR="00CF0B19" w:rsidRPr="00C76550" w:rsidTr="0019354A">
        <w:trPr>
          <w:trHeight w:val="387"/>
        </w:trPr>
        <w:tc>
          <w:tcPr>
            <w:tcW w:w="2970" w:type="dxa"/>
            <w:gridSpan w:val="2"/>
            <w:tcBorders>
              <w:top w:val="nil"/>
              <w:left w:val="nil"/>
              <w:bottom w:val="nil"/>
              <w:right w:val="nil"/>
            </w:tcBorders>
            <w:vAlign w:val="bottom"/>
          </w:tcPr>
          <w:p w:rsidR="00CF0B19" w:rsidRPr="00C76550" w:rsidRDefault="00CF0B19" w:rsidP="00936AD8">
            <w:pPr>
              <w:jc w:val="both"/>
            </w:pPr>
          </w:p>
        </w:tc>
        <w:tc>
          <w:tcPr>
            <w:tcW w:w="1350" w:type="dxa"/>
            <w:tcBorders>
              <w:top w:val="nil"/>
              <w:left w:val="nil"/>
              <w:bottom w:val="nil"/>
              <w:right w:val="nil"/>
            </w:tcBorders>
            <w:vAlign w:val="bottom"/>
          </w:tcPr>
          <w:p w:rsidR="00CF0B19" w:rsidRPr="00C76550" w:rsidRDefault="00CF0B19" w:rsidP="00936AD8">
            <w:pPr>
              <w:jc w:val="both"/>
            </w:pPr>
          </w:p>
        </w:tc>
        <w:tc>
          <w:tcPr>
            <w:tcW w:w="2070" w:type="dxa"/>
            <w:tcBorders>
              <w:top w:val="single" w:sz="4" w:space="0" w:color="auto"/>
              <w:left w:val="nil"/>
              <w:bottom w:val="nil"/>
              <w:right w:val="nil"/>
            </w:tcBorders>
            <w:vAlign w:val="bottom"/>
          </w:tcPr>
          <w:p w:rsidR="00CF0B19" w:rsidRPr="00C76550" w:rsidRDefault="00CF0B19" w:rsidP="00936AD8">
            <w:pPr>
              <w:jc w:val="both"/>
            </w:pPr>
            <w:r w:rsidRPr="00C76550">
              <w:rPr>
                <w:sz w:val="22"/>
                <w:szCs w:val="22"/>
              </w:rPr>
              <w:t xml:space="preserve">                      - </w:t>
            </w:r>
          </w:p>
        </w:tc>
        <w:tc>
          <w:tcPr>
            <w:tcW w:w="450" w:type="dxa"/>
            <w:tcBorders>
              <w:top w:val="single" w:sz="4" w:space="0" w:color="auto"/>
              <w:left w:val="nil"/>
              <w:bottom w:val="nil"/>
              <w:right w:val="nil"/>
            </w:tcBorders>
            <w:vAlign w:val="bottom"/>
          </w:tcPr>
          <w:p w:rsidR="00CF0B19" w:rsidRPr="00C76550" w:rsidRDefault="00CF0B19" w:rsidP="00936AD8">
            <w:pPr>
              <w:jc w:val="both"/>
            </w:pPr>
          </w:p>
        </w:tc>
        <w:tc>
          <w:tcPr>
            <w:tcW w:w="2160" w:type="dxa"/>
            <w:tcBorders>
              <w:top w:val="single" w:sz="4" w:space="0" w:color="auto"/>
              <w:left w:val="nil"/>
              <w:bottom w:val="nil"/>
              <w:right w:val="nil"/>
            </w:tcBorders>
            <w:vAlign w:val="bottom"/>
          </w:tcPr>
          <w:p w:rsidR="00CF0B19" w:rsidRPr="00C76550" w:rsidRDefault="00CF0B19" w:rsidP="00936AD8">
            <w:pPr>
              <w:jc w:val="both"/>
            </w:pPr>
            <w:r w:rsidRPr="00C76550">
              <w:rPr>
                <w:sz w:val="22"/>
                <w:szCs w:val="22"/>
              </w:rPr>
              <w:t xml:space="preserve">                2,372</w:t>
            </w:r>
          </w:p>
        </w:tc>
        <w:tc>
          <w:tcPr>
            <w:tcW w:w="236" w:type="dxa"/>
            <w:tcBorders>
              <w:top w:val="nil"/>
              <w:left w:val="nil"/>
              <w:bottom w:val="nil"/>
              <w:right w:val="nil"/>
            </w:tcBorders>
            <w:vAlign w:val="bottom"/>
          </w:tcPr>
          <w:p w:rsidR="00CF0B19" w:rsidRPr="00C76550" w:rsidRDefault="00CF0B19" w:rsidP="00936AD8">
            <w:pPr>
              <w:jc w:val="both"/>
            </w:pPr>
          </w:p>
        </w:tc>
      </w:tr>
      <w:tr w:rsidR="00CF0B19" w:rsidRPr="00C76550" w:rsidTr="0019354A">
        <w:trPr>
          <w:trHeight w:val="360"/>
        </w:trPr>
        <w:tc>
          <w:tcPr>
            <w:tcW w:w="4320" w:type="dxa"/>
            <w:gridSpan w:val="3"/>
            <w:tcBorders>
              <w:top w:val="nil"/>
              <w:left w:val="nil"/>
              <w:right w:val="nil"/>
            </w:tcBorders>
            <w:vAlign w:val="bottom"/>
          </w:tcPr>
          <w:p w:rsidR="00CF0B19" w:rsidRPr="00C76550" w:rsidRDefault="00CF0B19" w:rsidP="008A18FC">
            <w:pPr>
              <w:jc w:val="both"/>
            </w:pPr>
          </w:p>
        </w:tc>
        <w:tc>
          <w:tcPr>
            <w:tcW w:w="2070" w:type="dxa"/>
            <w:tcBorders>
              <w:top w:val="nil"/>
              <w:left w:val="nil"/>
              <w:right w:val="nil"/>
            </w:tcBorders>
            <w:vAlign w:val="bottom"/>
          </w:tcPr>
          <w:p w:rsidR="00CF0B19" w:rsidRPr="00C76550" w:rsidRDefault="00CF0B19" w:rsidP="008A18FC">
            <w:pPr>
              <w:jc w:val="both"/>
            </w:pPr>
            <w:r w:rsidRPr="00C76550">
              <w:rPr>
                <w:sz w:val="22"/>
                <w:szCs w:val="22"/>
              </w:rPr>
              <w:t xml:space="preserve">               </w:t>
            </w:r>
          </w:p>
        </w:tc>
        <w:tc>
          <w:tcPr>
            <w:tcW w:w="450" w:type="dxa"/>
            <w:tcBorders>
              <w:top w:val="nil"/>
              <w:left w:val="nil"/>
              <w:right w:val="nil"/>
            </w:tcBorders>
            <w:vAlign w:val="bottom"/>
          </w:tcPr>
          <w:p w:rsidR="00CF0B19" w:rsidRPr="00C76550" w:rsidRDefault="00CF0B19" w:rsidP="008A18FC">
            <w:pPr>
              <w:jc w:val="both"/>
            </w:pPr>
          </w:p>
        </w:tc>
        <w:tc>
          <w:tcPr>
            <w:tcW w:w="2160" w:type="dxa"/>
            <w:tcBorders>
              <w:top w:val="nil"/>
              <w:left w:val="nil"/>
              <w:right w:val="nil"/>
            </w:tcBorders>
            <w:vAlign w:val="bottom"/>
          </w:tcPr>
          <w:p w:rsidR="00CF0B19" w:rsidRPr="00C76550" w:rsidRDefault="00CF0B19" w:rsidP="001168F1">
            <w:pPr>
              <w:jc w:val="both"/>
            </w:pPr>
            <w:r w:rsidRPr="00C76550">
              <w:rPr>
                <w:sz w:val="22"/>
                <w:szCs w:val="22"/>
              </w:rPr>
              <w:t xml:space="preserve">               </w:t>
            </w:r>
          </w:p>
        </w:tc>
        <w:tc>
          <w:tcPr>
            <w:tcW w:w="236" w:type="dxa"/>
            <w:tcBorders>
              <w:top w:val="nil"/>
              <w:left w:val="nil"/>
              <w:right w:val="nil"/>
            </w:tcBorders>
            <w:vAlign w:val="bottom"/>
          </w:tcPr>
          <w:p w:rsidR="00CF0B19" w:rsidRPr="00C76550" w:rsidRDefault="00CF0B19" w:rsidP="00261319">
            <w:pPr>
              <w:jc w:val="both"/>
            </w:pPr>
            <w:r w:rsidRPr="00C76550">
              <w:rPr>
                <w:sz w:val="22"/>
                <w:szCs w:val="22"/>
              </w:rPr>
              <w:t xml:space="preserve">              </w:t>
            </w:r>
          </w:p>
        </w:tc>
      </w:tr>
      <w:tr w:rsidR="00CF0B19" w:rsidRPr="00C76550">
        <w:trPr>
          <w:trHeight w:val="270"/>
        </w:trPr>
        <w:tc>
          <w:tcPr>
            <w:tcW w:w="2790" w:type="dxa"/>
            <w:tcBorders>
              <w:top w:val="nil"/>
              <w:left w:val="nil"/>
              <w:right w:val="nil"/>
            </w:tcBorders>
            <w:vAlign w:val="bottom"/>
          </w:tcPr>
          <w:p w:rsidR="00CF0B19" w:rsidRPr="00C76550" w:rsidRDefault="00CF0B19" w:rsidP="008A18FC">
            <w:pPr>
              <w:jc w:val="both"/>
            </w:pPr>
            <w:r w:rsidRPr="00C76550">
              <w:rPr>
                <w:sz w:val="22"/>
                <w:szCs w:val="22"/>
              </w:rPr>
              <w:t>Total</w:t>
            </w:r>
          </w:p>
        </w:tc>
        <w:tc>
          <w:tcPr>
            <w:tcW w:w="1530" w:type="dxa"/>
            <w:gridSpan w:val="2"/>
            <w:tcBorders>
              <w:top w:val="nil"/>
              <w:left w:val="nil"/>
              <w:right w:val="nil"/>
            </w:tcBorders>
            <w:vAlign w:val="bottom"/>
          </w:tcPr>
          <w:p w:rsidR="00CF0B19" w:rsidRPr="00C76550" w:rsidRDefault="00CF0B19" w:rsidP="008A18FC">
            <w:pPr>
              <w:jc w:val="both"/>
            </w:pPr>
          </w:p>
        </w:tc>
        <w:tc>
          <w:tcPr>
            <w:tcW w:w="2070" w:type="dxa"/>
            <w:tcBorders>
              <w:left w:val="nil"/>
              <w:right w:val="nil"/>
            </w:tcBorders>
            <w:vAlign w:val="bottom"/>
          </w:tcPr>
          <w:p w:rsidR="00CF0B19" w:rsidRPr="00C76550" w:rsidRDefault="00CF0B19" w:rsidP="005E10A6">
            <w:pPr>
              <w:pBdr>
                <w:top w:val="single" w:sz="4" w:space="1" w:color="auto"/>
                <w:bottom w:val="double" w:sz="6" w:space="1" w:color="auto"/>
              </w:pBdr>
              <w:jc w:val="both"/>
            </w:pPr>
            <w:r w:rsidRPr="00C76550">
              <w:rPr>
                <w:sz w:val="22"/>
                <w:szCs w:val="22"/>
              </w:rPr>
              <w:t xml:space="preserve">               2,629</w:t>
            </w:r>
          </w:p>
        </w:tc>
        <w:tc>
          <w:tcPr>
            <w:tcW w:w="450" w:type="dxa"/>
            <w:tcBorders>
              <w:left w:val="nil"/>
              <w:right w:val="nil"/>
            </w:tcBorders>
            <w:vAlign w:val="bottom"/>
          </w:tcPr>
          <w:p w:rsidR="00CF0B19" w:rsidRPr="00C76550" w:rsidRDefault="00CF0B19" w:rsidP="008A18FC">
            <w:pPr>
              <w:jc w:val="both"/>
            </w:pPr>
          </w:p>
        </w:tc>
        <w:tc>
          <w:tcPr>
            <w:tcW w:w="2160" w:type="dxa"/>
            <w:tcBorders>
              <w:left w:val="nil"/>
              <w:right w:val="nil"/>
            </w:tcBorders>
            <w:vAlign w:val="bottom"/>
          </w:tcPr>
          <w:p w:rsidR="00CF0B19" w:rsidRPr="00C76550" w:rsidRDefault="00CF0B19" w:rsidP="00876315">
            <w:pPr>
              <w:pBdr>
                <w:top w:val="single" w:sz="4" w:space="1" w:color="auto"/>
                <w:bottom w:val="double" w:sz="6" w:space="1" w:color="auto"/>
              </w:pBdr>
              <w:jc w:val="both"/>
            </w:pPr>
            <w:r w:rsidRPr="00C76550">
              <w:rPr>
                <w:sz w:val="22"/>
                <w:szCs w:val="22"/>
              </w:rPr>
              <w:t xml:space="preserve">              25,595</w:t>
            </w:r>
          </w:p>
        </w:tc>
        <w:tc>
          <w:tcPr>
            <w:tcW w:w="236" w:type="dxa"/>
            <w:tcBorders>
              <w:top w:val="nil"/>
              <w:left w:val="nil"/>
              <w:right w:val="nil"/>
            </w:tcBorders>
            <w:vAlign w:val="bottom"/>
          </w:tcPr>
          <w:p w:rsidR="00CF0B19" w:rsidRPr="00C76550" w:rsidRDefault="00CF0B19" w:rsidP="008A18FC">
            <w:pPr>
              <w:jc w:val="both"/>
            </w:pPr>
          </w:p>
        </w:tc>
      </w:tr>
    </w:tbl>
    <w:p w:rsidR="00CF0B19" w:rsidRDefault="00CF0B19" w:rsidP="00017EDF">
      <w:pPr>
        <w:ind w:left="1080"/>
        <w:jc w:val="both"/>
        <w:rPr>
          <w:sz w:val="22"/>
          <w:szCs w:val="22"/>
        </w:rPr>
      </w:pPr>
    </w:p>
    <w:p w:rsidR="00CF0B19" w:rsidRPr="00C76550" w:rsidRDefault="00CF0B19" w:rsidP="00017EDF">
      <w:pPr>
        <w:ind w:left="1080"/>
        <w:jc w:val="both"/>
        <w:rPr>
          <w:sz w:val="22"/>
          <w:szCs w:val="22"/>
        </w:rPr>
      </w:pPr>
      <w:r w:rsidRPr="00C76550">
        <w:rPr>
          <w:sz w:val="22"/>
          <w:szCs w:val="22"/>
        </w:rPr>
        <w:t>The effective tax rate for the period was lower than the statutory income tax rate of 25%</w:t>
      </w:r>
      <w:r w:rsidRPr="00C76550">
        <w:rPr>
          <w:color w:val="FF0000"/>
          <w:sz w:val="22"/>
          <w:szCs w:val="22"/>
        </w:rPr>
        <w:t xml:space="preserve"> </w:t>
      </w:r>
      <w:r w:rsidRPr="00C76550">
        <w:rPr>
          <w:sz w:val="22"/>
          <w:szCs w:val="22"/>
        </w:rPr>
        <w:t>due mainly to the following:</w:t>
      </w:r>
    </w:p>
    <w:p w:rsidR="00CF0B19" w:rsidRPr="00C76550" w:rsidRDefault="00CF0B19" w:rsidP="00017EDF">
      <w:pPr>
        <w:ind w:left="1080"/>
        <w:jc w:val="both"/>
        <w:rPr>
          <w:sz w:val="22"/>
          <w:szCs w:val="22"/>
        </w:rPr>
      </w:pPr>
    </w:p>
    <w:p w:rsidR="00CF0B19" w:rsidRPr="00C76550" w:rsidRDefault="00CF0B19" w:rsidP="00017EDF">
      <w:pPr>
        <w:numPr>
          <w:ilvl w:val="0"/>
          <w:numId w:val="7"/>
        </w:numPr>
        <w:jc w:val="both"/>
        <w:rPr>
          <w:sz w:val="22"/>
          <w:szCs w:val="22"/>
        </w:rPr>
      </w:pPr>
      <w:r w:rsidRPr="00C76550">
        <w:rPr>
          <w:sz w:val="22"/>
          <w:szCs w:val="22"/>
        </w:rPr>
        <w:t>the utilisation of investment tax allowance;</w:t>
      </w:r>
    </w:p>
    <w:p w:rsidR="00CF0B19" w:rsidRPr="00C76550" w:rsidRDefault="00CF0B19" w:rsidP="00017EDF">
      <w:pPr>
        <w:numPr>
          <w:ilvl w:val="0"/>
          <w:numId w:val="7"/>
        </w:numPr>
        <w:jc w:val="both"/>
        <w:rPr>
          <w:sz w:val="22"/>
          <w:szCs w:val="22"/>
        </w:rPr>
      </w:pPr>
      <w:r w:rsidRPr="00C76550">
        <w:rPr>
          <w:sz w:val="22"/>
          <w:szCs w:val="22"/>
        </w:rPr>
        <w:t>the tax effect of income not taxable in determining taxable profit; and</w:t>
      </w:r>
    </w:p>
    <w:p w:rsidR="00CF0B19" w:rsidRPr="00C76550" w:rsidRDefault="00CF0B19" w:rsidP="00017EDF">
      <w:pPr>
        <w:numPr>
          <w:ilvl w:val="0"/>
          <w:numId w:val="7"/>
        </w:numPr>
        <w:jc w:val="both"/>
        <w:rPr>
          <w:sz w:val="22"/>
          <w:szCs w:val="22"/>
        </w:rPr>
      </w:pPr>
      <w:r w:rsidRPr="00C76550">
        <w:rPr>
          <w:sz w:val="22"/>
          <w:szCs w:val="22"/>
        </w:rPr>
        <w:t xml:space="preserve">the tax effect of double deduction on import insurance. </w:t>
      </w:r>
    </w:p>
    <w:p w:rsidR="00CF0B19" w:rsidRPr="00C76550" w:rsidRDefault="00CF0B19" w:rsidP="00513C94">
      <w:pPr>
        <w:jc w:val="both"/>
        <w:rPr>
          <w:sz w:val="22"/>
          <w:szCs w:val="22"/>
        </w:rPr>
      </w:pPr>
    </w:p>
    <w:p w:rsidR="00CF0B19" w:rsidRPr="00C76550" w:rsidRDefault="00CF0B19" w:rsidP="00513C94">
      <w:pPr>
        <w:ind w:left="360" w:firstLine="720"/>
        <w:jc w:val="both"/>
        <w:rPr>
          <w:sz w:val="22"/>
          <w:szCs w:val="22"/>
        </w:rPr>
      </w:pPr>
      <w:r w:rsidRPr="00C76550">
        <w:rPr>
          <w:sz w:val="22"/>
          <w:szCs w:val="22"/>
        </w:rPr>
        <w:t>However, the reduction is partly offset by expenses not deductible for tax purposes.</w:t>
      </w:r>
    </w:p>
    <w:p w:rsidR="00CF0B19" w:rsidRPr="00C76550" w:rsidRDefault="00CF0B19" w:rsidP="00513C94">
      <w:pPr>
        <w:ind w:left="360" w:firstLine="720"/>
        <w:jc w:val="both"/>
        <w:rPr>
          <w:sz w:val="22"/>
          <w:szCs w:val="22"/>
        </w:rPr>
      </w:pPr>
    </w:p>
    <w:p w:rsidR="00CF0B19" w:rsidRPr="00C76550" w:rsidRDefault="00CF0B19" w:rsidP="00017EDF">
      <w:pPr>
        <w:ind w:left="1800"/>
        <w:jc w:val="both"/>
        <w:rPr>
          <w:sz w:val="22"/>
          <w:szCs w:val="22"/>
        </w:rPr>
      </w:pPr>
    </w:p>
    <w:p w:rsidR="00CF0B19" w:rsidRPr="00C76550" w:rsidRDefault="00CF0B19" w:rsidP="008A18FC">
      <w:pPr>
        <w:tabs>
          <w:tab w:val="left" w:pos="1080"/>
        </w:tabs>
        <w:ind w:left="1080" w:hanging="720"/>
        <w:jc w:val="both"/>
        <w:rPr>
          <w:b/>
          <w:bCs/>
          <w:sz w:val="22"/>
          <w:szCs w:val="22"/>
        </w:rPr>
      </w:pPr>
      <w:r w:rsidRPr="00C76550">
        <w:rPr>
          <w:b/>
          <w:bCs/>
          <w:sz w:val="22"/>
          <w:szCs w:val="22"/>
        </w:rPr>
        <w:t>B6.</w:t>
      </w:r>
      <w:r w:rsidRPr="00C76550">
        <w:rPr>
          <w:sz w:val="22"/>
          <w:szCs w:val="22"/>
        </w:rPr>
        <w:tab/>
      </w:r>
      <w:r w:rsidRPr="00C76550">
        <w:rPr>
          <w:b/>
          <w:bCs/>
          <w:sz w:val="22"/>
          <w:szCs w:val="22"/>
        </w:rPr>
        <w:t xml:space="preserve">Unquoted investments and/or properties </w:t>
      </w:r>
    </w:p>
    <w:p w:rsidR="00CF0B19" w:rsidRPr="00C76550" w:rsidRDefault="00CF0B19" w:rsidP="008A18FC">
      <w:pPr>
        <w:jc w:val="both"/>
        <w:rPr>
          <w:sz w:val="22"/>
          <w:szCs w:val="22"/>
        </w:rPr>
      </w:pPr>
    </w:p>
    <w:p w:rsidR="00CF0B19" w:rsidRPr="00C76550" w:rsidRDefault="00CF0B19" w:rsidP="008A18FC">
      <w:pPr>
        <w:ind w:left="1080"/>
        <w:jc w:val="both"/>
        <w:rPr>
          <w:sz w:val="22"/>
          <w:szCs w:val="22"/>
        </w:rPr>
      </w:pPr>
      <w:r w:rsidRPr="00C76550">
        <w:rPr>
          <w:sz w:val="22"/>
          <w:szCs w:val="22"/>
        </w:rPr>
        <w:t>The Group did not dispose of any investments in any unquoted investments and/or properties during the financial quarter under review.</w:t>
      </w:r>
    </w:p>
    <w:p w:rsidR="00CF0B19" w:rsidRPr="00C76550" w:rsidRDefault="00CF0B19" w:rsidP="008A18FC">
      <w:pPr>
        <w:ind w:left="1080"/>
        <w:jc w:val="both"/>
        <w:rPr>
          <w:sz w:val="22"/>
          <w:szCs w:val="22"/>
        </w:rPr>
      </w:pPr>
    </w:p>
    <w:p w:rsidR="00CF0B19" w:rsidRPr="00C76550" w:rsidRDefault="00CF0B19" w:rsidP="008A18FC">
      <w:pPr>
        <w:ind w:left="1080"/>
        <w:jc w:val="both"/>
        <w:rPr>
          <w:sz w:val="22"/>
          <w:szCs w:val="22"/>
        </w:rPr>
      </w:pPr>
    </w:p>
    <w:p w:rsidR="00CF0B19" w:rsidRPr="00C76550" w:rsidRDefault="00CF0B19" w:rsidP="008A18FC">
      <w:pPr>
        <w:tabs>
          <w:tab w:val="left" w:pos="1080"/>
        </w:tabs>
        <w:ind w:left="1080" w:hanging="720"/>
        <w:jc w:val="both"/>
        <w:rPr>
          <w:b/>
          <w:bCs/>
          <w:sz w:val="22"/>
          <w:szCs w:val="22"/>
        </w:rPr>
      </w:pPr>
      <w:r w:rsidRPr="00C76550">
        <w:rPr>
          <w:b/>
          <w:bCs/>
          <w:sz w:val="22"/>
          <w:szCs w:val="22"/>
        </w:rPr>
        <w:t>B7.</w:t>
      </w:r>
      <w:r w:rsidRPr="00C76550">
        <w:rPr>
          <w:sz w:val="22"/>
          <w:szCs w:val="22"/>
        </w:rPr>
        <w:tab/>
      </w:r>
      <w:r w:rsidRPr="00C76550">
        <w:rPr>
          <w:b/>
          <w:bCs/>
          <w:sz w:val="22"/>
          <w:szCs w:val="22"/>
        </w:rPr>
        <w:t xml:space="preserve">Quoted securities </w:t>
      </w:r>
    </w:p>
    <w:p w:rsidR="00CF0B19" w:rsidRPr="00C76550" w:rsidRDefault="00CF0B19" w:rsidP="008A18FC">
      <w:pPr>
        <w:ind w:left="1080"/>
        <w:jc w:val="both"/>
        <w:rPr>
          <w:sz w:val="22"/>
          <w:szCs w:val="22"/>
        </w:rPr>
      </w:pPr>
    </w:p>
    <w:p w:rsidR="00CF0B19" w:rsidRPr="00C76550" w:rsidRDefault="00CF0B19" w:rsidP="008A18FC">
      <w:pPr>
        <w:ind w:left="1080"/>
        <w:jc w:val="both"/>
        <w:rPr>
          <w:sz w:val="22"/>
          <w:szCs w:val="22"/>
        </w:rPr>
      </w:pPr>
      <w:r w:rsidRPr="00C76550">
        <w:rPr>
          <w:sz w:val="22"/>
          <w:szCs w:val="22"/>
        </w:rPr>
        <w:t>During the quarter under review the Group’s investment in marketable securities are as follows:-</w:t>
      </w:r>
    </w:p>
    <w:p w:rsidR="00CF0B19" w:rsidRPr="00C76550" w:rsidRDefault="00CF0B19" w:rsidP="008A18FC">
      <w:pPr>
        <w:ind w:left="1080"/>
        <w:jc w:val="both"/>
        <w:rPr>
          <w:sz w:val="22"/>
          <w:szCs w:val="22"/>
        </w:rPr>
      </w:pPr>
    </w:p>
    <w:p w:rsidR="00CF0B19" w:rsidRPr="00C76550" w:rsidRDefault="00CF0B19" w:rsidP="008A18FC">
      <w:pPr>
        <w:ind w:left="1080"/>
        <w:jc w:val="both"/>
        <w:rPr>
          <w:sz w:val="22"/>
          <w:szCs w:val="22"/>
        </w:rPr>
      </w:pPr>
      <w:r w:rsidRPr="00C76550">
        <w:rPr>
          <w:sz w:val="22"/>
          <w:szCs w:val="22"/>
        </w:rPr>
        <w:tab/>
      </w:r>
      <w:r w:rsidRPr="00C76550">
        <w:rPr>
          <w:sz w:val="22"/>
          <w:szCs w:val="22"/>
        </w:rPr>
        <w:tab/>
      </w:r>
      <w:r w:rsidRPr="00C76550">
        <w:rPr>
          <w:sz w:val="22"/>
          <w:szCs w:val="22"/>
        </w:rPr>
        <w:tab/>
      </w:r>
      <w:r w:rsidRPr="00C76550">
        <w:rPr>
          <w:sz w:val="22"/>
          <w:szCs w:val="22"/>
        </w:rPr>
        <w:tab/>
      </w:r>
      <w:r w:rsidRPr="00C76550">
        <w:rPr>
          <w:sz w:val="22"/>
          <w:szCs w:val="22"/>
        </w:rPr>
        <w:tab/>
      </w:r>
      <w:r w:rsidRPr="00C76550">
        <w:rPr>
          <w:sz w:val="22"/>
          <w:szCs w:val="22"/>
        </w:rPr>
        <w:tab/>
        <w:t>Current Quarter</w:t>
      </w:r>
      <w:r w:rsidRPr="00C76550">
        <w:rPr>
          <w:sz w:val="22"/>
          <w:szCs w:val="22"/>
        </w:rPr>
        <w:tab/>
      </w:r>
      <w:r w:rsidRPr="00C76550">
        <w:rPr>
          <w:sz w:val="22"/>
          <w:szCs w:val="22"/>
        </w:rPr>
        <w:tab/>
        <w:t>Current Year-to-date</w:t>
      </w:r>
      <w:r w:rsidRPr="00C76550">
        <w:rPr>
          <w:sz w:val="22"/>
          <w:szCs w:val="22"/>
        </w:rPr>
        <w:tab/>
      </w:r>
      <w:r w:rsidRPr="00C76550">
        <w:rPr>
          <w:sz w:val="22"/>
          <w:szCs w:val="22"/>
          <w:u w:val="single"/>
        </w:rPr>
        <w:t xml:space="preserve">             </w:t>
      </w:r>
      <w:r w:rsidRPr="00C76550">
        <w:rPr>
          <w:sz w:val="22"/>
          <w:szCs w:val="22"/>
        </w:rPr>
        <w:t xml:space="preserve">    </w:t>
      </w:r>
    </w:p>
    <w:p w:rsidR="00CF0B19" w:rsidRPr="00C76550" w:rsidRDefault="00CF0B19" w:rsidP="008A18FC">
      <w:pPr>
        <w:ind w:left="1080"/>
        <w:jc w:val="both"/>
        <w:rPr>
          <w:sz w:val="22"/>
          <w:szCs w:val="22"/>
        </w:rPr>
      </w:pPr>
    </w:p>
    <w:p w:rsidR="00CF0B19" w:rsidRPr="00C76550" w:rsidRDefault="00CF0B19" w:rsidP="008A18FC">
      <w:pPr>
        <w:ind w:left="1080"/>
        <w:jc w:val="both"/>
        <w:rPr>
          <w:sz w:val="22"/>
          <w:szCs w:val="22"/>
        </w:rPr>
      </w:pPr>
      <w:r w:rsidRPr="00C76550">
        <w:rPr>
          <w:sz w:val="22"/>
          <w:szCs w:val="22"/>
        </w:rPr>
        <w:t>Purchase of securities</w:t>
      </w:r>
      <w:r w:rsidRPr="00C76550">
        <w:rPr>
          <w:sz w:val="22"/>
          <w:szCs w:val="22"/>
        </w:rPr>
        <w:tab/>
        <w:t>(RM’000)</w:t>
      </w:r>
      <w:r w:rsidRPr="00C76550">
        <w:rPr>
          <w:sz w:val="22"/>
          <w:szCs w:val="22"/>
        </w:rPr>
        <w:tab/>
        <w:t xml:space="preserve">        Nil</w:t>
      </w:r>
      <w:r w:rsidRPr="00C76550">
        <w:rPr>
          <w:sz w:val="22"/>
          <w:szCs w:val="22"/>
        </w:rPr>
        <w:tab/>
      </w:r>
      <w:r w:rsidRPr="00C76550">
        <w:rPr>
          <w:sz w:val="22"/>
          <w:szCs w:val="22"/>
        </w:rPr>
        <w:tab/>
        <w:t xml:space="preserve">    15,000</w:t>
      </w:r>
    </w:p>
    <w:p w:rsidR="00CF0B19" w:rsidRPr="00C76550" w:rsidRDefault="00CF0B19" w:rsidP="008A18FC">
      <w:pPr>
        <w:ind w:left="1080"/>
        <w:jc w:val="both"/>
        <w:rPr>
          <w:sz w:val="22"/>
          <w:szCs w:val="22"/>
        </w:rPr>
      </w:pPr>
      <w:r w:rsidRPr="00C76550">
        <w:rPr>
          <w:sz w:val="22"/>
          <w:szCs w:val="22"/>
        </w:rPr>
        <w:t xml:space="preserve">Sale of securities </w:t>
      </w:r>
      <w:r w:rsidRPr="00C76550">
        <w:rPr>
          <w:sz w:val="22"/>
          <w:szCs w:val="22"/>
        </w:rPr>
        <w:tab/>
      </w:r>
      <w:r w:rsidRPr="00C76550">
        <w:rPr>
          <w:sz w:val="22"/>
          <w:szCs w:val="22"/>
        </w:rPr>
        <w:tab/>
        <w:t>(RM’000)</w:t>
      </w:r>
      <w:r w:rsidRPr="00C76550">
        <w:rPr>
          <w:sz w:val="22"/>
          <w:szCs w:val="22"/>
        </w:rPr>
        <w:tab/>
        <w:t xml:space="preserve">        Nil</w:t>
      </w:r>
      <w:r w:rsidRPr="00C76550">
        <w:rPr>
          <w:sz w:val="22"/>
          <w:szCs w:val="22"/>
        </w:rPr>
        <w:tab/>
        <w:t xml:space="preserve">                      Nil</w:t>
      </w:r>
      <w:r w:rsidRPr="00C76550">
        <w:rPr>
          <w:sz w:val="22"/>
          <w:szCs w:val="22"/>
        </w:rPr>
        <w:tab/>
      </w:r>
      <w:r w:rsidRPr="00C76550">
        <w:rPr>
          <w:sz w:val="22"/>
          <w:szCs w:val="22"/>
        </w:rPr>
        <w:tab/>
      </w:r>
      <w:r w:rsidRPr="00C76550">
        <w:rPr>
          <w:sz w:val="22"/>
          <w:szCs w:val="22"/>
        </w:rPr>
        <w:tab/>
      </w:r>
    </w:p>
    <w:p w:rsidR="00CF0B19" w:rsidRPr="00C76550" w:rsidRDefault="00CF0B19" w:rsidP="008A18FC">
      <w:pPr>
        <w:ind w:left="1080"/>
        <w:jc w:val="both"/>
        <w:rPr>
          <w:sz w:val="22"/>
          <w:szCs w:val="22"/>
        </w:rPr>
      </w:pPr>
      <w:r w:rsidRPr="00C76550">
        <w:rPr>
          <w:sz w:val="22"/>
          <w:szCs w:val="22"/>
        </w:rPr>
        <w:t>Profit/(Loss)</w:t>
      </w:r>
      <w:r w:rsidRPr="00C76550">
        <w:rPr>
          <w:sz w:val="22"/>
          <w:szCs w:val="22"/>
        </w:rPr>
        <w:tab/>
      </w:r>
      <w:r w:rsidRPr="00C76550">
        <w:rPr>
          <w:sz w:val="22"/>
          <w:szCs w:val="22"/>
        </w:rPr>
        <w:tab/>
        <w:t>(RM’000)</w:t>
      </w:r>
      <w:r w:rsidRPr="00C76550">
        <w:rPr>
          <w:sz w:val="22"/>
          <w:szCs w:val="22"/>
        </w:rPr>
        <w:tab/>
        <w:t xml:space="preserve">        697</w:t>
      </w:r>
      <w:r w:rsidRPr="00C76550">
        <w:rPr>
          <w:sz w:val="22"/>
          <w:szCs w:val="22"/>
        </w:rPr>
        <w:tab/>
      </w:r>
      <w:r w:rsidRPr="00C76550">
        <w:rPr>
          <w:sz w:val="22"/>
          <w:szCs w:val="22"/>
        </w:rPr>
        <w:tab/>
        <w:t xml:space="preserve">      2,111</w:t>
      </w:r>
    </w:p>
    <w:p w:rsidR="00CF0B19" w:rsidRPr="00C76550" w:rsidRDefault="00CF0B19" w:rsidP="008A18FC">
      <w:pPr>
        <w:ind w:left="1080"/>
        <w:jc w:val="both"/>
        <w:rPr>
          <w:sz w:val="22"/>
          <w:szCs w:val="22"/>
        </w:rPr>
      </w:pPr>
    </w:p>
    <w:p w:rsidR="00CF0B19" w:rsidRDefault="00CF0B19" w:rsidP="008A18FC">
      <w:pPr>
        <w:ind w:left="1080"/>
        <w:jc w:val="both"/>
        <w:rPr>
          <w:sz w:val="22"/>
          <w:szCs w:val="22"/>
        </w:rPr>
      </w:pPr>
    </w:p>
    <w:p w:rsidR="00CF0B19" w:rsidRDefault="00CF0B19" w:rsidP="008A18FC">
      <w:pPr>
        <w:ind w:left="1080"/>
        <w:jc w:val="both"/>
        <w:rPr>
          <w:sz w:val="22"/>
          <w:szCs w:val="22"/>
        </w:rPr>
      </w:pPr>
    </w:p>
    <w:p w:rsidR="00CF0B19" w:rsidRPr="00C76550" w:rsidRDefault="00CF0B19" w:rsidP="008A18FC">
      <w:pPr>
        <w:ind w:left="1080"/>
        <w:jc w:val="both"/>
        <w:rPr>
          <w:sz w:val="22"/>
          <w:szCs w:val="22"/>
        </w:rPr>
      </w:pPr>
      <w:r w:rsidRPr="00C76550">
        <w:rPr>
          <w:sz w:val="22"/>
          <w:szCs w:val="22"/>
        </w:rPr>
        <w:t>The status of the Group’s investment in marketable securities as at the end of the reporting quarter is as follows:-</w:t>
      </w:r>
    </w:p>
    <w:p w:rsidR="00CF0B19" w:rsidRPr="00C76550" w:rsidRDefault="00CF0B19" w:rsidP="008A18FC">
      <w:pPr>
        <w:ind w:left="1080"/>
        <w:jc w:val="both"/>
        <w:rPr>
          <w:sz w:val="22"/>
          <w:szCs w:val="22"/>
        </w:rPr>
      </w:pPr>
      <w:r w:rsidRPr="00C76550">
        <w:rPr>
          <w:sz w:val="22"/>
          <w:szCs w:val="22"/>
        </w:rPr>
        <w:tab/>
      </w:r>
      <w:r w:rsidRPr="00C76550">
        <w:rPr>
          <w:sz w:val="22"/>
          <w:szCs w:val="22"/>
        </w:rPr>
        <w:tab/>
      </w:r>
    </w:p>
    <w:p w:rsidR="00CF0B19" w:rsidRPr="00C76550" w:rsidRDefault="00CF0B19" w:rsidP="00F149A8">
      <w:pPr>
        <w:numPr>
          <w:ilvl w:val="0"/>
          <w:numId w:val="9"/>
        </w:numPr>
        <w:ind w:left="1080" w:firstLine="0"/>
        <w:jc w:val="both"/>
        <w:rPr>
          <w:sz w:val="22"/>
          <w:szCs w:val="22"/>
        </w:rPr>
      </w:pPr>
      <w:r w:rsidRPr="00C76550">
        <w:rPr>
          <w:sz w:val="22"/>
          <w:szCs w:val="22"/>
        </w:rPr>
        <w:t>at cost:</w:t>
      </w:r>
      <w:r w:rsidRPr="00C76550">
        <w:rPr>
          <w:sz w:val="22"/>
          <w:szCs w:val="22"/>
        </w:rPr>
        <w:tab/>
      </w:r>
      <w:r w:rsidRPr="00C76550">
        <w:rPr>
          <w:sz w:val="22"/>
          <w:szCs w:val="22"/>
        </w:rPr>
        <w:tab/>
      </w:r>
      <w:r w:rsidRPr="00C76550">
        <w:rPr>
          <w:sz w:val="22"/>
          <w:szCs w:val="22"/>
        </w:rPr>
        <w:tab/>
        <w:t>RM73.1 million;</w:t>
      </w:r>
    </w:p>
    <w:p w:rsidR="00CF0B19" w:rsidRPr="00C76550" w:rsidRDefault="00CF0B19" w:rsidP="00F149A8">
      <w:pPr>
        <w:numPr>
          <w:ilvl w:val="0"/>
          <w:numId w:val="9"/>
        </w:numPr>
        <w:ind w:left="1080" w:firstLine="0"/>
        <w:jc w:val="both"/>
        <w:rPr>
          <w:sz w:val="22"/>
          <w:szCs w:val="22"/>
        </w:rPr>
      </w:pPr>
      <w:r w:rsidRPr="00C76550">
        <w:rPr>
          <w:sz w:val="22"/>
          <w:szCs w:val="22"/>
        </w:rPr>
        <w:t>at carrying value:</w:t>
      </w:r>
      <w:r w:rsidRPr="00C76550">
        <w:rPr>
          <w:sz w:val="22"/>
          <w:szCs w:val="22"/>
        </w:rPr>
        <w:tab/>
        <w:t>RM77.6 million; and</w:t>
      </w:r>
    </w:p>
    <w:p w:rsidR="00CF0B19" w:rsidRPr="00C76550" w:rsidRDefault="00CF0B19" w:rsidP="00F149A8">
      <w:pPr>
        <w:numPr>
          <w:ilvl w:val="0"/>
          <w:numId w:val="9"/>
        </w:numPr>
        <w:ind w:left="1080" w:firstLine="0"/>
        <w:jc w:val="both"/>
        <w:rPr>
          <w:sz w:val="22"/>
          <w:szCs w:val="22"/>
        </w:rPr>
      </w:pPr>
      <w:r w:rsidRPr="00C76550">
        <w:rPr>
          <w:sz w:val="22"/>
          <w:szCs w:val="22"/>
        </w:rPr>
        <w:t>at market value:</w:t>
      </w:r>
      <w:r w:rsidRPr="00C76550">
        <w:rPr>
          <w:sz w:val="22"/>
          <w:szCs w:val="22"/>
        </w:rPr>
        <w:tab/>
      </w:r>
      <w:r w:rsidRPr="00C76550">
        <w:rPr>
          <w:sz w:val="22"/>
          <w:szCs w:val="22"/>
        </w:rPr>
        <w:tab/>
        <w:t>RM77.6 million.</w:t>
      </w:r>
    </w:p>
    <w:p w:rsidR="00CF0B19" w:rsidRPr="00C76550" w:rsidRDefault="00CF0B19" w:rsidP="00F149A8">
      <w:pPr>
        <w:tabs>
          <w:tab w:val="left" w:pos="1080"/>
        </w:tabs>
        <w:ind w:left="1080"/>
        <w:jc w:val="both"/>
        <w:rPr>
          <w:b/>
          <w:bCs/>
          <w:sz w:val="22"/>
          <w:szCs w:val="22"/>
        </w:rPr>
      </w:pPr>
    </w:p>
    <w:p w:rsidR="00CF0B19" w:rsidRPr="00C76550" w:rsidRDefault="00CF0B19" w:rsidP="00F149A8">
      <w:pPr>
        <w:tabs>
          <w:tab w:val="left" w:pos="1080"/>
        </w:tabs>
        <w:ind w:left="1080"/>
        <w:jc w:val="both"/>
        <w:rPr>
          <w:b/>
          <w:bCs/>
          <w:sz w:val="22"/>
          <w:szCs w:val="22"/>
        </w:rPr>
      </w:pPr>
    </w:p>
    <w:p w:rsidR="00CF0B19" w:rsidRPr="00C76550" w:rsidRDefault="00CF0B19" w:rsidP="008A18FC">
      <w:pPr>
        <w:tabs>
          <w:tab w:val="left" w:pos="1080"/>
        </w:tabs>
        <w:ind w:left="1080" w:hanging="720"/>
        <w:jc w:val="both"/>
        <w:rPr>
          <w:b/>
          <w:bCs/>
          <w:sz w:val="22"/>
          <w:szCs w:val="22"/>
        </w:rPr>
      </w:pPr>
      <w:r w:rsidRPr="00C76550">
        <w:rPr>
          <w:b/>
          <w:bCs/>
          <w:sz w:val="22"/>
          <w:szCs w:val="22"/>
        </w:rPr>
        <w:t>B8.</w:t>
      </w:r>
      <w:r w:rsidRPr="00C76550">
        <w:rPr>
          <w:sz w:val="22"/>
          <w:szCs w:val="22"/>
        </w:rPr>
        <w:tab/>
      </w:r>
      <w:r w:rsidRPr="00C76550">
        <w:rPr>
          <w:b/>
          <w:bCs/>
          <w:sz w:val="22"/>
          <w:szCs w:val="22"/>
        </w:rPr>
        <w:t xml:space="preserve">Status of corporate proposal announced </w:t>
      </w:r>
    </w:p>
    <w:p w:rsidR="00CF0B19" w:rsidRPr="00C76550" w:rsidRDefault="00CF0B19" w:rsidP="008A18FC">
      <w:pPr>
        <w:jc w:val="both"/>
        <w:rPr>
          <w:sz w:val="22"/>
          <w:szCs w:val="22"/>
        </w:rPr>
      </w:pPr>
    </w:p>
    <w:p w:rsidR="00CF0B19" w:rsidRPr="00C76550" w:rsidRDefault="00CF0B19" w:rsidP="005A3150">
      <w:pPr>
        <w:ind w:left="1080"/>
        <w:jc w:val="both"/>
        <w:rPr>
          <w:sz w:val="22"/>
          <w:szCs w:val="22"/>
        </w:rPr>
      </w:pPr>
      <w:r w:rsidRPr="00C76550">
        <w:rPr>
          <w:sz w:val="22"/>
          <w:szCs w:val="22"/>
        </w:rPr>
        <w:t>There is no corporate proposal announced but not completed as at the date of this announcement.</w:t>
      </w:r>
    </w:p>
    <w:p w:rsidR="00CF0B19" w:rsidRDefault="00CF0B19" w:rsidP="008A18FC">
      <w:pPr>
        <w:ind w:left="1080"/>
        <w:jc w:val="both"/>
        <w:rPr>
          <w:sz w:val="22"/>
          <w:szCs w:val="22"/>
        </w:rPr>
      </w:pPr>
    </w:p>
    <w:p w:rsidR="00CF0B19" w:rsidRPr="00C76550" w:rsidRDefault="00CF0B19" w:rsidP="008A18FC">
      <w:pPr>
        <w:ind w:left="1080"/>
        <w:jc w:val="both"/>
        <w:rPr>
          <w:sz w:val="22"/>
          <w:szCs w:val="22"/>
        </w:rPr>
      </w:pPr>
    </w:p>
    <w:p w:rsidR="00CF0B19" w:rsidRPr="00C76550" w:rsidRDefault="00CF0B19" w:rsidP="008A18FC">
      <w:pPr>
        <w:tabs>
          <w:tab w:val="left" w:pos="1080"/>
        </w:tabs>
        <w:ind w:left="1080" w:hanging="720"/>
        <w:jc w:val="both"/>
        <w:rPr>
          <w:b/>
          <w:bCs/>
          <w:sz w:val="22"/>
          <w:szCs w:val="22"/>
        </w:rPr>
      </w:pPr>
      <w:r w:rsidRPr="00C76550">
        <w:rPr>
          <w:b/>
          <w:bCs/>
          <w:sz w:val="22"/>
          <w:szCs w:val="22"/>
        </w:rPr>
        <w:t xml:space="preserve">B9. </w:t>
      </w:r>
      <w:r w:rsidRPr="00C76550">
        <w:rPr>
          <w:b/>
          <w:bCs/>
          <w:sz w:val="22"/>
          <w:szCs w:val="22"/>
        </w:rPr>
        <w:tab/>
        <w:t xml:space="preserve">Details of treasury shares </w:t>
      </w:r>
    </w:p>
    <w:p w:rsidR="00CF0B19" w:rsidRPr="00C76550" w:rsidRDefault="00CF0B19" w:rsidP="008A18FC">
      <w:pPr>
        <w:tabs>
          <w:tab w:val="left" w:pos="1080"/>
        </w:tabs>
        <w:ind w:left="1080" w:hanging="720"/>
        <w:jc w:val="both"/>
        <w:rPr>
          <w:b/>
          <w:bCs/>
          <w:sz w:val="22"/>
          <w:szCs w:val="22"/>
        </w:rPr>
      </w:pPr>
      <w:r w:rsidRPr="00C76550">
        <w:rPr>
          <w:b/>
          <w:bCs/>
          <w:sz w:val="22"/>
          <w:szCs w:val="22"/>
        </w:rPr>
        <w:tab/>
      </w:r>
      <w:r w:rsidRPr="00C76550">
        <w:rPr>
          <w:bCs/>
          <w:sz w:val="22"/>
          <w:szCs w:val="22"/>
        </w:rPr>
        <w:tab/>
      </w:r>
    </w:p>
    <w:p w:rsidR="00CF0B19" w:rsidRPr="00C76550" w:rsidRDefault="00CF0B19" w:rsidP="00F17FCF">
      <w:pPr>
        <w:tabs>
          <w:tab w:val="left" w:pos="1080"/>
        </w:tabs>
        <w:ind w:left="1080" w:hanging="720"/>
        <w:jc w:val="both"/>
        <w:rPr>
          <w:bCs/>
          <w:sz w:val="22"/>
          <w:szCs w:val="22"/>
        </w:rPr>
      </w:pPr>
      <w:r w:rsidRPr="00C76550">
        <w:rPr>
          <w:bCs/>
          <w:sz w:val="22"/>
          <w:szCs w:val="22"/>
        </w:rPr>
        <w:tab/>
        <w:t>The Company did not buy-back any of its own shares during the quarter under review. As at the end of the reporting quarter, the status of the share buy-back is as follows:-</w:t>
      </w:r>
    </w:p>
    <w:p w:rsidR="00CF0B19" w:rsidRPr="00C76550" w:rsidRDefault="00CF0B19" w:rsidP="008A18FC">
      <w:pPr>
        <w:tabs>
          <w:tab w:val="left" w:pos="1080"/>
        </w:tabs>
        <w:ind w:left="1080" w:hanging="720"/>
        <w:jc w:val="both"/>
        <w:rPr>
          <w:bCs/>
          <w:sz w:val="22"/>
          <w:szCs w:val="22"/>
        </w:rPr>
      </w:pPr>
      <w:r w:rsidRPr="00C76550">
        <w:rPr>
          <w:bCs/>
          <w:sz w:val="22"/>
          <w:szCs w:val="22"/>
        </w:rPr>
        <w:tab/>
      </w:r>
    </w:p>
    <w:p w:rsidR="00CF0B19" w:rsidRPr="00C76550" w:rsidRDefault="00CF0B19" w:rsidP="008A18FC">
      <w:pPr>
        <w:tabs>
          <w:tab w:val="left" w:pos="1080"/>
        </w:tabs>
        <w:ind w:left="1080" w:hanging="720"/>
        <w:jc w:val="both"/>
        <w:rPr>
          <w:bCs/>
          <w:sz w:val="22"/>
          <w:szCs w:val="22"/>
        </w:rPr>
      </w:pP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t xml:space="preserve">Current </w:t>
      </w:r>
      <w:r w:rsidRPr="00C76550">
        <w:rPr>
          <w:bCs/>
          <w:sz w:val="22"/>
          <w:szCs w:val="22"/>
        </w:rPr>
        <w:tab/>
      </w:r>
      <w:r w:rsidRPr="00C76550">
        <w:rPr>
          <w:bCs/>
          <w:sz w:val="22"/>
          <w:szCs w:val="22"/>
        </w:rPr>
        <w:tab/>
        <w:t>Accumulated</w:t>
      </w:r>
    </w:p>
    <w:p w:rsidR="00CF0B19" w:rsidRPr="00C76550" w:rsidRDefault="00CF0B19" w:rsidP="008A18FC">
      <w:pPr>
        <w:tabs>
          <w:tab w:val="left" w:pos="1080"/>
        </w:tabs>
        <w:ind w:left="1080" w:hanging="720"/>
        <w:jc w:val="both"/>
        <w:rPr>
          <w:bCs/>
          <w:sz w:val="22"/>
          <w:szCs w:val="22"/>
        </w:rPr>
      </w:pP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t>Year-to-Date</w:t>
      </w:r>
      <w:r w:rsidRPr="00C76550">
        <w:rPr>
          <w:bCs/>
          <w:sz w:val="22"/>
          <w:szCs w:val="22"/>
        </w:rPr>
        <w:tab/>
      </w:r>
      <w:r w:rsidRPr="00C76550">
        <w:rPr>
          <w:bCs/>
          <w:sz w:val="22"/>
          <w:szCs w:val="22"/>
        </w:rPr>
        <w:tab/>
        <w:t>Total</w:t>
      </w:r>
    </w:p>
    <w:p w:rsidR="00CF0B19" w:rsidRPr="00C76550" w:rsidRDefault="00CF0B19" w:rsidP="008A18FC">
      <w:pPr>
        <w:tabs>
          <w:tab w:val="left" w:pos="1080"/>
        </w:tabs>
        <w:ind w:left="1080" w:hanging="720"/>
        <w:jc w:val="both"/>
        <w:rPr>
          <w:bCs/>
          <w:sz w:val="22"/>
          <w:szCs w:val="22"/>
        </w:rPr>
      </w:pP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r>
      <w:r w:rsidRPr="00C76550">
        <w:rPr>
          <w:bCs/>
          <w:sz w:val="22"/>
          <w:szCs w:val="22"/>
        </w:rPr>
        <w:tab/>
        <w:t>----------------------</w:t>
      </w:r>
      <w:r w:rsidRPr="00C76550">
        <w:rPr>
          <w:bCs/>
          <w:sz w:val="22"/>
          <w:szCs w:val="22"/>
        </w:rPr>
        <w:tab/>
        <w:t>-----------------</w:t>
      </w:r>
    </w:p>
    <w:p w:rsidR="00CF0B19" w:rsidRPr="00C76550" w:rsidRDefault="00CF0B19" w:rsidP="008A18FC">
      <w:pPr>
        <w:tabs>
          <w:tab w:val="left" w:pos="1080"/>
        </w:tabs>
        <w:ind w:left="1080" w:hanging="720"/>
        <w:jc w:val="both"/>
        <w:rPr>
          <w:bCs/>
          <w:sz w:val="22"/>
          <w:szCs w:val="22"/>
        </w:rPr>
      </w:pPr>
      <w:r w:rsidRPr="00C76550">
        <w:rPr>
          <w:bCs/>
          <w:sz w:val="22"/>
          <w:szCs w:val="22"/>
        </w:rPr>
        <w:tab/>
      </w:r>
      <w:r w:rsidRPr="00C76550">
        <w:rPr>
          <w:bCs/>
          <w:sz w:val="22"/>
          <w:szCs w:val="22"/>
        </w:rPr>
        <w:tab/>
        <w:t>Description of shares purchased:</w:t>
      </w:r>
      <w:r w:rsidRPr="00C76550">
        <w:rPr>
          <w:bCs/>
          <w:sz w:val="22"/>
          <w:szCs w:val="22"/>
        </w:rPr>
        <w:tab/>
      </w:r>
      <w:r w:rsidRPr="00C76550">
        <w:rPr>
          <w:bCs/>
          <w:sz w:val="22"/>
          <w:szCs w:val="22"/>
        </w:rPr>
        <w:tab/>
      </w:r>
      <w:r w:rsidRPr="00C76550">
        <w:rPr>
          <w:bCs/>
          <w:sz w:val="22"/>
          <w:szCs w:val="22"/>
        </w:rPr>
        <w:tab/>
        <w:t>Ordinary share of RM1.00 each:</w:t>
      </w:r>
    </w:p>
    <w:p w:rsidR="00CF0B19" w:rsidRPr="00C76550" w:rsidRDefault="00CF0B19" w:rsidP="008A18FC">
      <w:pPr>
        <w:tabs>
          <w:tab w:val="left" w:pos="1080"/>
        </w:tabs>
        <w:ind w:left="1080" w:hanging="720"/>
        <w:jc w:val="both"/>
        <w:rPr>
          <w:bCs/>
          <w:sz w:val="22"/>
          <w:szCs w:val="22"/>
        </w:rPr>
      </w:pPr>
      <w:r w:rsidRPr="00C76550">
        <w:rPr>
          <w:bCs/>
          <w:sz w:val="22"/>
          <w:szCs w:val="22"/>
        </w:rPr>
        <w:tab/>
      </w:r>
      <w:r w:rsidRPr="00C76550">
        <w:rPr>
          <w:bCs/>
          <w:sz w:val="22"/>
          <w:szCs w:val="22"/>
        </w:rPr>
        <w:tab/>
      </w:r>
    </w:p>
    <w:p w:rsidR="00CF0B19" w:rsidRPr="00C76550" w:rsidRDefault="00CF0B19" w:rsidP="008A18FC">
      <w:pPr>
        <w:tabs>
          <w:tab w:val="left" w:pos="1080"/>
        </w:tabs>
        <w:ind w:left="1080" w:hanging="720"/>
        <w:jc w:val="both"/>
        <w:rPr>
          <w:bCs/>
          <w:sz w:val="22"/>
          <w:szCs w:val="22"/>
        </w:rPr>
      </w:pPr>
      <w:r w:rsidRPr="00C76550">
        <w:rPr>
          <w:bCs/>
          <w:sz w:val="22"/>
          <w:szCs w:val="22"/>
        </w:rPr>
        <w:tab/>
      </w:r>
      <w:r w:rsidRPr="00C76550">
        <w:rPr>
          <w:bCs/>
          <w:sz w:val="22"/>
          <w:szCs w:val="22"/>
        </w:rPr>
        <w:tab/>
        <w:t>Number of shares purchased:</w:t>
      </w:r>
      <w:r w:rsidRPr="00C76550">
        <w:rPr>
          <w:bCs/>
          <w:sz w:val="22"/>
          <w:szCs w:val="22"/>
        </w:rPr>
        <w:tab/>
      </w:r>
      <w:r w:rsidRPr="00C76550">
        <w:rPr>
          <w:bCs/>
          <w:sz w:val="22"/>
          <w:szCs w:val="22"/>
        </w:rPr>
        <w:tab/>
      </w:r>
      <w:r w:rsidRPr="00C76550">
        <w:rPr>
          <w:bCs/>
          <w:sz w:val="22"/>
          <w:szCs w:val="22"/>
        </w:rPr>
        <w:tab/>
        <w:t>Nil</w:t>
      </w:r>
      <w:r w:rsidRPr="00C76550">
        <w:rPr>
          <w:bCs/>
          <w:sz w:val="22"/>
          <w:szCs w:val="22"/>
        </w:rPr>
        <w:tab/>
      </w:r>
      <w:r w:rsidRPr="00C76550">
        <w:rPr>
          <w:bCs/>
          <w:sz w:val="22"/>
          <w:szCs w:val="22"/>
        </w:rPr>
        <w:tab/>
      </w:r>
      <w:r w:rsidRPr="00C76550">
        <w:rPr>
          <w:bCs/>
          <w:sz w:val="22"/>
          <w:szCs w:val="22"/>
        </w:rPr>
        <w:tab/>
      </w:r>
      <w:r>
        <w:rPr>
          <w:bCs/>
          <w:sz w:val="22"/>
          <w:szCs w:val="22"/>
        </w:rPr>
        <w:t>6,800,000</w:t>
      </w:r>
    </w:p>
    <w:p w:rsidR="00CF0B19" w:rsidRPr="00C76550" w:rsidRDefault="00CF0B19" w:rsidP="008A18FC">
      <w:pPr>
        <w:tabs>
          <w:tab w:val="left" w:pos="1080"/>
        </w:tabs>
        <w:ind w:left="1080" w:hanging="720"/>
        <w:jc w:val="both"/>
        <w:rPr>
          <w:bCs/>
          <w:sz w:val="22"/>
          <w:szCs w:val="22"/>
        </w:rPr>
      </w:pPr>
      <w:r w:rsidRPr="00C76550">
        <w:rPr>
          <w:bCs/>
          <w:sz w:val="22"/>
          <w:szCs w:val="22"/>
        </w:rPr>
        <w:tab/>
      </w:r>
      <w:r w:rsidRPr="00C76550">
        <w:rPr>
          <w:bCs/>
          <w:sz w:val="22"/>
          <w:szCs w:val="22"/>
        </w:rPr>
        <w:tab/>
        <w:t>Number of shares cancelled:</w:t>
      </w:r>
      <w:r w:rsidRPr="00C76550">
        <w:rPr>
          <w:bCs/>
          <w:sz w:val="22"/>
          <w:szCs w:val="22"/>
        </w:rPr>
        <w:tab/>
      </w:r>
      <w:r w:rsidRPr="00C76550">
        <w:rPr>
          <w:bCs/>
          <w:sz w:val="22"/>
          <w:szCs w:val="22"/>
        </w:rPr>
        <w:tab/>
      </w:r>
      <w:r w:rsidRPr="00C76550">
        <w:rPr>
          <w:bCs/>
          <w:sz w:val="22"/>
          <w:szCs w:val="22"/>
        </w:rPr>
        <w:tab/>
        <w:t>Nil</w:t>
      </w:r>
      <w:r w:rsidRPr="00C76550">
        <w:rPr>
          <w:bCs/>
          <w:sz w:val="22"/>
          <w:szCs w:val="22"/>
        </w:rPr>
        <w:tab/>
      </w:r>
      <w:r w:rsidRPr="00C76550">
        <w:rPr>
          <w:bCs/>
          <w:sz w:val="22"/>
          <w:szCs w:val="22"/>
        </w:rPr>
        <w:tab/>
      </w:r>
      <w:r w:rsidRPr="00C76550">
        <w:rPr>
          <w:bCs/>
          <w:sz w:val="22"/>
          <w:szCs w:val="22"/>
        </w:rPr>
        <w:tab/>
        <w:t>Nil</w:t>
      </w:r>
    </w:p>
    <w:p w:rsidR="00CF0B19" w:rsidRPr="00C76550" w:rsidRDefault="00CF0B19" w:rsidP="008A18FC">
      <w:pPr>
        <w:tabs>
          <w:tab w:val="left" w:pos="1080"/>
        </w:tabs>
        <w:ind w:left="1080" w:hanging="720"/>
        <w:jc w:val="both"/>
        <w:rPr>
          <w:bCs/>
          <w:sz w:val="22"/>
          <w:szCs w:val="22"/>
        </w:rPr>
      </w:pPr>
      <w:r w:rsidRPr="00C76550">
        <w:rPr>
          <w:bCs/>
          <w:sz w:val="22"/>
          <w:szCs w:val="22"/>
        </w:rPr>
        <w:tab/>
      </w:r>
      <w:r w:rsidRPr="00C76550">
        <w:rPr>
          <w:bCs/>
          <w:sz w:val="22"/>
          <w:szCs w:val="22"/>
        </w:rPr>
        <w:tab/>
        <w:t>Number of shares held as treasury shares:</w:t>
      </w:r>
      <w:r w:rsidRPr="00C76550">
        <w:rPr>
          <w:bCs/>
          <w:sz w:val="22"/>
          <w:szCs w:val="22"/>
        </w:rPr>
        <w:tab/>
        <w:t xml:space="preserve">Nil </w:t>
      </w:r>
      <w:r w:rsidRPr="00C76550">
        <w:rPr>
          <w:bCs/>
          <w:sz w:val="22"/>
          <w:szCs w:val="22"/>
        </w:rPr>
        <w:tab/>
      </w:r>
      <w:r w:rsidRPr="00C76550">
        <w:rPr>
          <w:bCs/>
          <w:sz w:val="22"/>
          <w:szCs w:val="22"/>
        </w:rPr>
        <w:tab/>
      </w:r>
      <w:r w:rsidRPr="00C76550">
        <w:rPr>
          <w:bCs/>
          <w:sz w:val="22"/>
          <w:szCs w:val="22"/>
        </w:rPr>
        <w:tab/>
        <w:t>6,800,000</w:t>
      </w:r>
    </w:p>
    <w:p w:rsidR="00CF0B19" w:rsidRPr="00C76550" w:rsidRDefault="00CF0B19" w:rsidP="008A18FC">
      <w:pPr>
        <w:tabs>
          <w:tab w:val="left" w:pos="1080"/>
        </w:tabs>
        <w:ind w:left="1080" w:hanging="720"/>
        <w:jc w:val="both"/>
        <w:rPr>
          <w:bCs/>
          <w:sz w:val="22"/>
          <w:szCs w:val="22"/>
        </w:rPr>
      </w:pPr>
      <w:r w:rsidRPr="00C76550">
        <w:rPr>
          <w:bCs/>
          <w:sz w:val="22"/>
          <w:szCs w:val="22"/>
        </w:rPr>
        <w:tab/>
      </w:r>
      <w:r w:rsidRPr="00C76550">
        <w:rPr>
          <w:bCs/>
          <w:sz w:val="22"/>
          <w:szCs w:val="22"/>
        </w:rPr>
        <w:tab/>
        <w:t>Number of treasury shares resold:</w:t>
      </w:r>
      <w:r w:rsidRPr="00C76550">
        <w:rPr>
          <w:bCs/>
          <w:sz w:val="22"/>
          <w:szCs w:val="22"/>
        </w:rPr>
        <w:tab/>
      </w:r>
      <w:r w:rsidRPr="00C76550">
        <w:rPr>
          <w:bCs/>
          <w:sz w:val="22"/>
          <w:szCs w:val="22"/>
        </w:rPr>
        <w:tab/>
        <w:t>Nil</w:t>
      </w:r>
      <w:r w:rsidRPr="00C76550">
        <w:rPr>
          <w:bCs/>
          <w:sz w:val="22"/>
          <w:szCs w:val="22"/>
        </w:rPr>
        <w:tab/>
      </w:r>
      <w:r w:rsidRPr="00C76550">
        <w:rPr>
          <w:bCs/>
          <w:sz w:val="22"/>
          <w:szCs w:val="22"/>
        </w:rPr>
        <w:tab/>
      </w:r>
      <w:r w:rsidRPr="00C76550">
        <w:rPr>
          <w:bCs/>
          <w:sz w:val="22"/>
          <w:szCs w:val="22"/>
        </w:rPr>
        <w:tab/>
        <w:t>Nil</w:t>
      </w:r>
    </w:p>
    <w:p w:rsidR="00CF0B19" w:rsidRPr="00C76550" w:rsidRDefault="00CF0B19" w:rsidP="008A18FC">
      <w:pPr>
        <w:tabs>
          <w:tab w:val="left" w:pos="1080"/>
        </w:tabs>
        <w:ind w:left="1080" w:hanging="720"/>
        <w:jc w:val="both"/>
        <w:rPr>
          <w:b/>
          <w:bCs/>
          <w:sz w:val="22"/>
          <w:szCs w:val="22"/>
        </w:rPr>
      </w:pPr>
    </w:p>
    <w:p w:rsidR="00CF0B19" w:rsidRPr="00C76550" w:rsidRDefault="00CF0B19" w:rsidP="008A18FC">
      <w:pPr>
        <w:tabs>
          <w:tab w:val="left" w:pos="1080"/>
        </w:tabs>
        <w:ind w:left="1080" w:hanging="720"/>
        <w:jc w:val="both"/>
        <w:rPr>
          <w:b/>
          <w:bCs/>
          <w:sz w:val="22"/>
          <w:szCs w:val="22"/>
        </w:rPr>
      </w:pPr>
    </w:p>
    <w:p w:rsidR="00CF0B19" w:rsidRPr="00C76550" w:rsidRDefault="00CF0B19" w:rsidP="008A18FC">
      <w:pPr>
        <w:tabs>
          <w:tab w:val="left" w:pos="1080"/>
        </w:tabs>
        <w:ind w:left="1080" w:hanging="720"/>
        <w:jc w:val="both"/>
        <w:rPr>
          <w:b/>
          <w:bCs/>
          <w:sz w:val="22"/>
          <w:szCs w:val="22"/>
        </w:rPr>
      </w:pPr>
      <w:r w:rsidRPr="00C76550">
        <w:rPr>
          <w:b/>
          <w:bCs/>
          <w:sz w:val="22"/>
          <w:szCs w:val="22"/>
        </w:rPr>
        <w:t>B10.</w:t>
      </w:r>
      <w:r w:rsidRPr="00C76550">
        <w:rPr>
          <w:sz w:val="22"/>
          <w:szCs w:val="22"/>
        </w:rPr>
        <w:tab/>
      </w:r>
      <w:r w:rsidRPr="00C76550">
        <w:rPr>
          <w:b/>
          <w:bCs/>
          <w:sz w:val="22"/>
          <w:szCs w:val="22"/>
        </w:rPr>
        <w:t xml:space="preserve">Group borrowings </w:t>
      </w:r>
    </w:p>
    <w:p w:rsidR="00CF0B19" w:rsidRPr="00C76550" w:rsidRDefault="00CF0B19" w:rsidP="008A18FC">
      <w:pPr>
        <w:pStyle w:val="BodyText"/>
        <w:tabs>
          <w:tab w:val="left" w:pos="-1800"/>
        </w:tabs>
        <w:jc w:val="both"/>
        <w:rPr>
          <w:i w:val="0"/>
          <w:iCs w:val="0"/>
          <w:sz w:val="22"/>
          <w:szCs w:val="22"/>
        </w:rPr>
      </w:pPr>
    </w:p>
    <w:p w:rsidR="00CF0B19" w:rsidRPr="00C76550" w:rsidRDefault="00CF0B19" w:rsidP="0012408A">
      <w:pPr>
        <w:pStyle w:val="BodyText"/>
        <w:tabs>
          <w:tab w:val="left" w:pos="-1800"/>
        </w:tabs>
        <w:ind w:firstLine="1080"/>
        <w:jc w:val="both"/>
        <w:rPr>
          <w:i w:val="0"/>
          <w:iCs w:val="0"/>
          <w:sz w:val="22"/>
          <w:szCs w:val="22"/>
        </w:rPr>
      </w:pPr>
      <w:r w:rsidRPr="00C76550">
        <w:rPr>
          <w:i w:val="0"/>
          <w:iCs w:val="0"/>
          <w:sz w:val="22"/>
          <w:szCs w:val="22"/>
        </w:rPr>
        <w:t>The Group’s borrowings as at the end of the reporting quarter are as follows:</w:t>
      </w:r>
    </w:p>
    <w:p w:rsidR="00CF0B19" w:rsidRPr="00C76550" w:rsidRDefault="00CF0B19" w:rsidP="0012408A">
      <w:pPr>
        <w:pStyle w:val="BodyText"/>
        <w:tabs>
          <w:tab w:val="left" w:pos="-1800"/>
        </w:tabs>
        <w:ind w:firstLine="1080"/>
        <w:jc w:val="both"/>
        <w:rPr>
          <w:i w:val="0"/>
          <w:iCs w:val="0"/>
          <w:sz w:val="22"/>
          <w:szCs w:val="22"/>
        </w:rPr>
      </w:pPr>
    </w:p>
    <w:p w:rsidR="00CF0B19" w:rsidRPr="00C76550" w:rsidRDefault="00CF0B19" w:rsidP="0012408A">
      <w:pPr>
        <w:pStyle w:val="BodyText"/>
        <w:tabs>
          <w:tab w:val="left" w:pos="-1800"/>
        </w:tabs>
        <w:ind w:firstLine="1080"/>
        <w:jc w:val="both"/>
        <w:rPr>
          <w:i w:val="0"/>
          <w:iCs w:val="0"/>
          <w:sz w:val="22"/>
          <w:szCs w:val="22"/>
        </w:rPr>
      </w:pPr>
      <w:r w:rsidRPr="00C76550">
        <w:rPr>
          <w:sz w:val="22"/>
          <w:szCs w:val="22"/>
        </w:rPr>
        <w:object w:dxaOrig="8577" w:dyaOrig="1501">
          <v:shape id="_x0000_i1026" type="#_x0000_t75" style="width:429pt;height:73.5pt" o:ole="" fillcolor="window">
            <v:imagedata r:id="rId9" o:title=""/>
          </v:shape>
          <o:OLEObject Type="Embed" ProgID="Excel.Sheet.8" ShapeID="_x0000_i1026" DrawAspect="Content" ObjectID="_1359467553" r:id="rId10"/>
        </w:object>
      </w:r>
    </w:p>
    <w:p w:rsidR="00CF0B19" w:rsidRPr="00C76550" w:rsidRDefault="00CF0B19" w:rsidP="008A18FC">
      <w:pPr>
        <w:pStyle w:val="BodyText"/>
        <w:tabs>
          <w:tab w:val="left" w:pos="-1800"/>
        </w:tabs>
        <w:ind w:firstLine="1080"/>
        <w:jc w:val="both"/>
        <w:rPr>
          <w:i w:val="0"/>
          <w:iCs w:val="0"/>
          <w:sz w:val="22"/>
          <w:szCs w:val="22"/>
        </w:rPr>
      </w:pPr>
    </w:p>
    <w:p w:rsidR="00CF0B19" w:rsidRPr="00C76550" w:rsidRDefault="00CF0B19" w:rsidP="00C479AF">
      <w:pPr>
        <w:pStyle w:val="BodyText"/>
        <w:tabs>
          <w:tab w:val="left" w:pos="-1800"/>
        </w:tabs>
        <w:jc w:val="both"/>
        <w:rPr>
          <w:i w:val="0"/>
          <w:iCs w:val="0"/>
          <w:sz w:val="22"/>
          <w:szCs w:val="22"/>
        </w:rPr>
      </w:pPr>
    </w:p>
    <w:p w:rsidR="00CF0B19" w:rsidRPr="00C76550" w:rsidRDefault="00CF0B19" w:rsidP="008A18FC">
      <w:pPr>
        <w:tabs>
          <w:tab w:val="left" w:pos="1080"/>
        </w:tabs>
        <w:ind w:left="1080" w:hanging="720"/>
        <w:jc w:val="both"/>
        <w:rPr>
          <w:b/>
          <w:bCs/>
          <w:sz w:val="22"/>
          <w:szCs w:val="22"/>
        </w:rPr>
      </w:pPr>
      <w:r w:rsidRPr="00C76550">
        <w:rPr>
          <w:b/>
          <w:bCs/>
          <w:sz w:val="22"/>
          <w:szCs w:val="22"/>
        </w:rPr>
        <w:t>B11.</w:t>
      </w:r>
      <w:r w:rsidRPr="00C76550">
        <w:rPr>
          <w:sz w:val="22"/>
          <w:szCs w:val="22"/>
        </w:rPr>
        <w:tab/>
      </w:r>
      <w:r w:rsidRPr="00C76550">
        <w:rPr>
          <w:b/>
          <w:bCs/>
          <w:sz w:val="22"/>
          <w:szCs w:val="22"/>
        </w:rPr>
        <w:t xml:space="preserve">Off balance sheet financial instruments </w:t>
      </w:r>
    </w:p>
    <w:p w:rsidR="00CF0B19" w:rsidRPr="00C76550" w:rsidRDefault="00CF0B19" w:rsidP="008A18FC">
      <w:pPr>
        <w:pStyle w:val="BodyTextIndent2"/>
        <w:tabs>
          <w:tab w:val="left" w:pos="360"/>
        </w:tabs>
        <w:jc w:val="both"/>
        <w:rPr>
          <w:sz w:val="22"/>
          <w:szCs w:val="22"/>
        </w:rPr>
      </w:pPr>
    </w:p>
    <w:p w:rsidR="00CF0B19" w:rsidRPr="00C76550" w:rsidRDefault="00CF0B19" w:rsidP="008A18FC">
      <w:pPr>
        <w:pStyle w:val="BodyTextIndent2"/>
        <w:tabs>
          <w:tab w:val="left" w:pos="360"/>
        </w:tabs>
        <w:jc w:val="both"/>
        <w:rPr>
          <w:b w:val="0"/>
          <w:bCs w:val="0"/>
          <w:sz w:val="22"/>
          <w:szCs w:val="22"/>
        </w:rPr>
      </w:pPr>
      <w:r w:rsidRPr="00C76550">
        <w:rPr>
          <w:b w:val="0"/>
          <w:bCs w:val="0"/>
          <w:sz w:val="22"/>
          <w:szCs w:val="22"/>
        </w:rPr>
        <w:t>There are no financial instruments with off balance sheet risk as at the date of this report.</w:t>
      </w:r>
    </w:p>
    <w:p w:rsidR="00CF0B19" w:rsidRDefault="00CF0B19" w:rsidP="008A18FC">
      <w:pPr>
        <w:jc w:val="both"/>
        <w:rPr>
          <w:sz w:val="22"/>
          <w:szCs w:val="22"/>
        </w:rPr>
      </w:pPr>
    </w:p>
    <w:p w:rsidR="00CF0B19" w:rsidRDefault="00CF0B19" w:rsidP="008A18FC">
      <w:pPr>
        <w:jc w:val="both"/>
        <w:rPr>
          <w:sz w:val="22"/>
          <w:szCs w:val="22"/>
        </w:rPr>
      </w:pPr>
    </w:p>
    <w:p w:rsidR="00CF0B19" w:rsidRDefault="00CF0B19" w:rsidP="008A18FC">
      <w:pPr>
        <w:jc w:val="both"/>
        <w:rPr>
          <w:sz w:val="22"/>
          <w:szCs w:val="22"/>
        </w:rPr>
      </w:pPr>
    </w:p>
    <w:p w:rsidR="00CF0B19" w:rsidRDefault="00CF0B19" w:rsidP="008A18FC">
      <w:pPr>
        <w:jc w:val="both"/>
        <w:rPr>
          <w:sz w:val="22"/>
          <w:szCs w:val="22"/>
        </w:rPr>
      </w:pPr>
    </w:p>
    <w:p w:rsidR="00CF0B19" w:rsidRDefault="00CF0B19" w:rsidP="008A18FC">
      <w:pPr>
        <w:jc w:val="both"/>
        <w:rPr>
          <w:sz w:val="22"/>
          <w:szCs w:val="22"/>
        </w:rPr>
      </w:pPr>
    </w:p>
    <w:p w:rsidR="00CF0B19" w:rsidRPr="00C76550" w:rsidRDefault="00CF0B19" w:rsidP="008A18FC">
      <w:pPr>
        <w:jc w:val="both"/>
        <w:rPr>
          <w:sz w:val="22"/>
          <w:szCs w:val="22"/>
        </w:rPr>
      </w:pPr>
    </w:p>
    <w:p w:rsidR="00CF0B19" w:rsidRPr="00C76550" w:rsidRDefault="00CF0B19" w:rsidP="008A18FC">
      <w:pPr>
        <w:tabs>
          <w:tab w:val="left" w:pos="1080"/>
        </w:tabs>
        <w:ind w:left="1080" w:hanging="720"/>
        <w:jc w:val="both"/>
        <w:rPr>
          <w:b/>
          <w:bCs/>
          <w:sz w:val="22"/>
          <w:szCs w:val="22"/>
        </w:rPr>
      </w:pPr>
    </w:p>
    <w:p w:rsidR="00CF0B19" w:rsidRPr="00C76550" w:rsidRDefault="00CF0B19" w:rsidP="008A18FC">
      <w:pPr>
        <w:tabs>
          <w:tab w:val="left" w:pos="1080"/>
        </w:tabs>
        <w:ind w:left="1080" w:hanging="720"/>
        <w:jc w:val="both"/>
        <w:rPr>
          <w:b/>
          <w:bCs/>
          <w:sz w:val="22"/>
          <w:szCs w:val="22"/>
        </w:rPr>
      </w:pPr>
      <w:r w:rsidRPr="00C76550">
        <w:rPr>
          <w:b/>
          <w:bCs/>
          <w:sz w:val="22"/>
          <w:szCs w:val="22"/>
        </w:rPr>
        <w:t>B12.</w:t>
      </w:r>
      <w:r w:rsidRPr="00C76550">
        <w:rPr>
          <w:sz w:val="22"/>
          <w:szCs w:val="22"/>
        </w:rPr>
        <w:tab/>
      </w:r>
      <w:r w:rsidRPr="00C76550">
        <w:rPr>
          <w:b/>
          <w:bCs/>
          <w:sz w:val="22"/>
          <w:szCs w:val="22"/>
        </w:rPr>
        <w:t xml:space="preserve">Changes in material litigation </w:t>
      </w:r>
    </w:p>
    <w:p w:rsidR="00CF0B19" w:rsidRPr="00C76550" w:rsidRDefault="00CF0B19" w:rsidP="008A18FC">
      <w:pPr>
        <w:jc w:val="both"/>
        <w:rPr>
          <w:sz w:val="22"/>
          <w:szCs w:val="22"/>
        </w:rPr>
      </w:pPr>
    </w:p>
    <w:p w:rsidR="00CF0B19" w:rsidRPr="00C76550" w:rsidRDefault="00CF0B19" w:rsidP="008A18FC">
      <w:pPr>
        <w:pStyle w:val="BodyTextIndent"/>
        <w:ind w:left="1080"/>
        <w:jc w:val="both"/>
        <w:rPr>
          <w:sz w:val="22"/>
          <w:szCs w:val="22"/>
        </w:rPr>
      </w:pPr>
      <w:r w:rsidRPr="00C76550">
        <w:rPr>
          <w:sz w:val="22"/>
          <w:szCs w:val="22"/>
        </w:rPr>
        <w:t>Neither CHB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Company or any of its subsidiaries.</w:t>
      </w:r>
    </w:p>
    <w:p w:rsidR="00CF0B19" w:rsidRPr="00C76550" w:rsidRDefault="00CF0B19" w:rsidP="008A18FC">
      <w:pPr>
        <w:jc w:val="both"/>
        <w:rPr>
          <w:sz w:val="22"/>
          <w:szCs w:val="22"/>
        </w:rPr>
      </w:pPr>
    </w:p>
    <w:p w:rsidR="00CF0B19" w:rsidRPr="00C76550" w:rsidRDefault="00CF0B19" w:rsidP="008A18FC">
      <w:pPr>
        <w:jc w:val="both"/>
        <w:rPr>
          <w:sz w:val="22"/>
          <w:szCs w:val="22"/>
        </w:rPr>
      </w:pPr>
    </w:p>
    <w:p w:rsidR="00CF0B19" w:rsidRPr="00C76550" w:rsidRDefault="00CF0B19" w:rsidP="00410A5A">
      <w:pPr>
        <w:tabs>
          <w:tab w:val="left" w:pos="1080"/>
        </w:tabs>
        <w:ind w:left="1080" w:hanging="720"/>
        <w:jc w:val="both"/>
        <w:rPr>
          <w:b/>
          <w:bCs/>
          <w:sz w:val="22"/>
          <w:szCs w:val="22"/>
        </w:rPr>
      </w:pPr>
      <w:r w:rsidRPr="00C76550">
        <w:rPr>
          <w:b/>
          <w:bCs/>
          <w:sz w:val="22"/>
          <w:szCs w:val="22"/>
        </w:rPr>
        <w:t>B13.</w:t>
      </w:r>
      <w:r w:rsidRPr="00C76550">
        <w:rPr>
          <w:sz w:val="22"/>
          <w:szCs w:val="22"/>
        </w:rPr>
        <w:tab/>
      </w:r>
      <w:r w:rsidRPr="00C76550">
        <w:rPr>
          <w:b/>
          <w:bCs/>
          <w:sz w:val="22"/>
          <w:szCs w:val="22"/>
        </w:rPr>
        <w:t>Dividend recommended by Directors</w:t>
      </w:r>
    </w:p>
    <w:p w:rsidR="00CF0B19" w:rsidRPr="00C76550" w:rsidRDefault="00CF0B19" w:rsidP="009D0247">
      <w:pPr>
        <w:tabs>
          <w:tab w:val="left" w:pos="1080"/>
        </w:tabs>
        <w:ind w:left="1080" w:hanging="720"/>
        <w:jc w:val="both"/>
        <w:rPr>
          <w:b/>
          <w:bCs/>
          <w:sz w:val="22"/>
          <w:szCs w:val="22"/>
        </w:rPr>
      </w:pPr>
      <w:r w:rsidRPr="00C76550">
        <w:rPr>
          <w:b/>
          <w:bCs/>
          <w:sz w:val="22"/>
          <w:szCs w:val="22"/>
        </w:rPr>
        <w:tab/>
      </w:r>
    </w:p>
    <w:p w:rsidR="00CF0B19" w:rsidRDefault="00CF0B19" w:rsidP="00950EDD">
      <w:pPr>
        <w:adjustRightInd w:val="0"/>
        <w:ind w:left="1080"/>
        <w:jc w:val="both"/>
        <w:rPr>
          <w:bCs/>
          <w:sz w:val="22"/>
          <w:szCs w:val="22"/>
        </w:rPr>
      </w:pPr>
      <w:r w:rsidRPr="006607BA">
        <w:rPr>
          <w:bCs/>
          <w:sz w:val="22"/>
          <w:szCs w:val="22"/>
        </w:rPr>
        <w:t xml:space="preserve">The Board of Directors has recommended a final </w:t>
      </w:r>
      <w:r>
        <w:rPr>
          <w:bCs/>
          <w:sz w:val="22"/>
          <w:szCs w:val="22"/>
        </w:rPr>
        <w:t xml:space="preserve">single tier system of </w:t>
      </w:r>
      <w:r w:rsidRPr="006607BA">
        <w:rPr>
          <w:bCs/>
          <w:sz w:val="22"/>
          <w:szCs w:val="22"/>
        </w:rPr>
        <w:t xml:space="preserve">dividend of </w:t>
      </w:r>
      <w:r>
        <w:rPr>
          <w:bCs/>
          <w:sz w:val="22"/>
          <w:szCs w:val="22"/>
        </w:rPr>
        <w:t>10</w:t>
      </w:r>
      <w:r w:rsidRPr="006607BA">
        <w:rPr>
          <w:bCs/>
          <w:sz w:val="22"/>
          <w:szCs w:val="22"/>
        </w:rPr>
        <w:t xml:space="preserve">% or </w:t>
      </w:r>
      <w:r>
        <w:rPr>
          <w:bCs/>
          <w:sz w:val="22"/>
          <w:szCs w:val="22"/>
        </w:rPr>
        <w:t>10</w:t>
      </w:r>
      <w:r w:rsidRPr="006607BA">
        <w:rPr>
          <w:bCs/>
          <w:sz w:val="22"/>
          <w:szCs w:val="22"/>
        </w:rPr>
        <w:t xml:space="preserve"> sen per share </w:t>
      </w:r>
      <w:r>
        <w:rPr>
          <w:bCs/>
          <w:sz w:val="22"/>
          <w:szCs w:val="22"/>
        </w:rPr>
        <w:t xml:space="preserve">and a special single tier system of dividend of 3% or 3 sen per share for the financial year ended 2010 </w:t>
      </w:r>
      <w:r w:rsidRPr="006607BA">
        <w:rPr>
          <w:bCs/>
          <w:sz w:val="22"/>
          <w:szCs w:val="22"/>
        </w:rPr>
        <w:t xml:space="preserve">which </w:t>
      </w:r>
      <w:r>
        <w:rPr>
          <w:bCs/>
          <w:sz w:val="22"/>
          <w:szCs w:val="22"/>
        </w:rPr>
        <w:t>are</w:t>
      </w:r>
      <w:r w:rsidRPr="006607BA">
        <w:rPr>
          <w:bCs/>
          <w:sz w:val="22"/>
          <w:szCs w:val="22"/>
        </w:rPr>
        <w:t xml:space="preserve"> subject to the approval of the shareholders in the forthcoming annual general meeting. </w:t>
      </w:r>
    </w:p>
    <w:p w:rsidR="00CF0B19" w:rsidRDefault="00CF0B19" w:rsidP="00950EDD">
      <w:pPr>
        <w:adjustRightInd w:val="0"/>
        <w:ind w:left="1080"/>
        <w:jc w:val="both"/>
        <w:rPr>
          <w:bCs/>
          <w:sz w:val="22"/>
          <w:szCs w:val="22"/>
        </w:rPr>
      </w:pPr>
    </w:p>
    <w:p w:rsidR="00CF0B19" w:rsidRDefault="00CF0B19" w:rsidP="00950EDD">
      <w:pPr>
        <w:adjustRightInd w:val="0"/>
        <w:ind w:left="1080"/>
        <w:jc w:val="both"/>
        <w:rPr>
          <w:bCs/>
          <w:sz w:val="22"/>
          <w:szCs w:val="22"/>
        </w:rPr>
      </w:pPr>
      <w:r>
        <w:rPr>
          <w:bCs/>
          <w:sz w:val="22"/>
          <w:szCs w:val="22"/>
        </w:rPr>
        <w:t>This complies with the Company’s dividend policy.</w:t>
      </w:r>
    </w:p>
    <w:p w:rsidR="00CF0B19" w:rsidRDefault="00CF0B19" w:rsidP="00950EDD">
      <w:pPr>
        <w:adjustRightInd w:val="0"/>
        <w:ind w:left="1080"/>
        <w:jc w:val="both"/>
        <w:rPr>
          <w:bCs/>
          <w:sz w:val="22"/>
          <w:szCs w:val="22"/>
        </w:rPr>
      </w:pPr>
    </w:p>
    <w:p w:rsidR="00CF0B19" w:rsidRDefault="00CF0B19" w:rsidP="00892172">
      <w:pPr>
        <w:adjustRightInd w:val="0"/>
        <w:ind w:left="1080"/>
        <w:jc w:val="both"/>
        <w:rPr>
          <w:bCs/>
          <w:sz w:val="22"/>
          <w:szCs w:val="22"/>
        </w:rPr>
      </w:pPr>
    </w:p>
    <w:p w:rsidR="00CF0B19" w:rsidRPr="00C76550" w:rsidRDefault="00CF0B19" w:rsidP="008A18FC">
      <w:pPr>
        <w:tabs>
          <w:tab w:val="left" w:pos="1080"/>
        </w:tabs>
        <w:ind w:left="1080" w:hanging="720"/>
        <w:jc w:val="both"/>
        <w:rPr>
          <w:b/>
          <w:bCs/>
          <w:sz w:val="22"/>
          <w:szCs w:val="22"/>
        </w:rPr>
      </w:pPr>
      <w:r w:rsidRPr="00C76550">
        <w:rPr>
          <w:b/>
          <w:bCs/>
          <w:sz w:val="22"/>
          <w:szCs w:val="22"/>
        </w:rPr>
        <w:t>B14.</w:t>
      </w:r>
      <w:r w:rsidRPr="00C76550">
        <w:rPr>
          <w:b/>
          <w:bCs/>
          <w:sz w:val="22"/>
          <w:szCs w:val="22"/>
        </w:rPr>
        <w:tab/>
        <w:t>Earnings per share</w:t>
      </w:r>
    </w:p>
    <w:p w:rsidR="00CF0B19" w:rsidRPr="00C76550" w:rsidRDefault="00CF0B19" w:rsidP="008A18FC">
      <w:pPr>
        <w:tabs>
          <w:tab w:val="left" w:pos="1080"/>
        </w:tabs>
        <w:ind w:left="1080" w:hanging="720"/>
        <w:jc w:val="both"/>
        <w:rPr>
          <w:b/>
          <w:bCs/>
          <w:sz w:val="22"/>
          <w:szCs w:val="22"/>
        </w:rPr>
      </w:pPr>
    </w:p>
    <w:p w:rsidR="00CF0B19" w:rsidRPr="00C76550" w:rsidRDefault="00CF0B19" w:rsidP="008A18FC">
      <w:pPr>
        <w:tabs>
          <w:tab w:val="left" w:pos="1080"/>
        </w:tabs>
        <w:ind w:left="1080" w:hanging="720"/>
        <w:jc w:val="both"/>
        <w:rPr>
          <w:sz w:val="22"/>
          <w:szCs w:val="22"/>
        </w:rPr>
      </w:pPr>
      <w:r w:rsidRPr="00C76550">
        <w:rPr>
          <w:b/>
          <w:bCs/>
          <w:sz w:val="22"/>
          <w:szCs w:val="22"/>
        </w:rPr>
        <w:tab/>
      </w:r>
      <w:r w:rsidRPr="00C76550">
        <w:rPr>
          <w:sz w:val="22"/>
          <w:szCs w:val="22"/>
        </w:rPr>
        <w:t>The basic earnings per share and diluted earnings per share for the current quarter and cumulative year to date are computed as follows:-</w:t>
      </w:r>
    </w:p>
    <w:p w:rsidR="00CF0B19" w:rsidRDefault="00CF0B19" w:rsidP="00C76550">
      <w:pPr>
        <w:tabs>
          <w:tab w:val="left" w:pos="1080"/>
        </w:tabs>
        <w:ind w:left="1080"/>
        <w:jc w:val="both"/>
        <w:rPr>
          <w:b/>
          <w:bCs/>
          <w:sz w:val="22"/>
          <w:szCs w:val="22"/>
        </w:rPr>
      </w:pPr>
    </w:p>
    <w:p w:rsidR="00CF0B19" w:rsidRDefault="00CF0B19" w:rsidP="00C76550">
      <w:pPr>
        <w:tabs>
          <w:tab w:val="left" w:pos="1080"/>
        </w:tabs>
        <w:ind w:left="1080"/>
        <w:jc w:val="both"/>
        <w:rPr>
          <w:b/>
          <w:bCs/>
          <w:sz w:val="22"/>
          <w:szCs w:val="22"/>
        </w:rPr>
      </w:pPr>
      <w:r w:rsidRPr="00C76550">
        <w:rPr>
          <w:b/>
          <w:bCs/>
          <w:sz w:val="22"/>
          <w:szCs w:val="22"/>
        </w:rPr>
        <w:object w:dxaOrig="8620" w:dyaOrig="3349">
          <v:shape id="_x0000_i1027" type="#_x0000_t75" style="width:426.75pt;height:164.25pt" o:ole="" fillcolor="window">
            <v:imagedata r:id="rId11" o:title=""/>
          </v:shape>
          <o:OLEObject Type="Embed" ProgID="Excel.Sheet.8" ShapeID="_x0000_i1027" DrawAspect="Content" ObjectID="_1359467554" r:id="rId12"/>
        </w:object>
      </w:r>
      <w:r w:rsidRPr="00C76550">
        <w:rPr>
          <w:b/>
          <w:bCs/>
          <w:sz w:val="22"/>
          <w:szCs w:val="22"/>
        </w:rPr>
        <w:t xml:space="preserve">   </w:t>
      </w:r>
    </w:p>
    <w:p w:rsidR="00CF0B19" w:rsidRPr="00C76550" w:rsidRDefault="00CF0B19" w:rsidP="00C76550">
      <w:pPr>
        <w:tabs>
          <w:tab w:val="left" w:pos="1080"/>
        </w:tabs>
        <w:ind w:left="108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Default="00CF0B19" w:rsidP="0008024C">
      <w:pPr>
        <w:tabs>
          <w:tab w:val="left" w:pos="1080"/>
        </w:tabs>
        <w:ind w:left="1080" w:hanging="720"/>
        <w:jc w:val="both"/>
        <w:rPr>
          <w:b/>
          <w:bCs/>
          <w:sz w:val="22"/>
          <w:szCs w:val="22"/>
        </w:rPr>
      </w:pPr>
    </w:p>
    <w:p w:rsidR="00CF0B19" w:rsidRPr="00C76550" w:rsidRDefault="00CF0B19" w:rsidP="0008024C">
      <w:pPr>
        <w:tabs>
          <w:tab w:val="left" w:pos="1080"/>
        </w:tabs>
        <w:ind w:left="1080" w:hanging="720"/>
        <w:jc w:val="both"/>
        <w:rPr>
          <w:b/>
          <w:bCs/>
          <w:sz w:val="22"/>
          <w:szCs w:val="22"/>
        </w:rPr>
      </w:pPr>
      <w:r w:rsidRPr="00C76550">
        <w:rPr>
          <w:b/>
          <w:bCs/>
          <w:sz w:val="22"/>
          <w:szCs w:val="22"/>
        </w:rPr>
        <w:t>B15.</w:t>
      </w:r>
      <w:r w:rsidRPr="00C76550">
        <w:rPr>
          <w:b/>
          <w:bCs/>
          <w:sz w:val="22"/>
          <w:szCs w:val="22"/>
        </w:rPr>
        <w:tab/>
        <w:t>Disclosure of reali</w:t>
      </w:r>
      <w:r>
        <w:rPr>
          <w:b/>
          <w:bCs/>
          <w:sz w:val="22"/>
          <w:szCs w:val="22"/>
        </w:rPr>
        <w:t>s</w:t>
      </w:r>
      <w:r w:rsidRPr="00C76550">
        <w:rPr>
          <w:b/>
          <w:bCs/>
          <w:sz w:val="22"/>
          <w:szCs w:val="22"/>
        </w:rPr>
        <w:t>ed and unreali</w:t>
      </w:r>
      <w:r>
        <w:rPr>
          <w:b/>
          <w:bCs/>
          <w:sz w:val="22"/>
          <w:szCs w:val="22"/>
        </w:rPr>
        <w:t>s</w:t>
      </w:r>
      <w:r w:rsidRPr="00C76550">
        <w:rPr>
          <w:b/>
          <w:bCs/>
          <w:sz w:val="22"/>
          <w:szCs w:val="22"/>
        </w:rPr>
        <w:t>ed profits</w:t>
      </w:r>
    </w:p>
    <w:p w:rsidR="00CF0B19" w:rsidRPr="00C76550" w:rsidRDefault="00CF0B19" w:rsidP="0008024C">
      <w:pPr>
        <w:tabs>
          <w:tab w:val="left" w:pos="1080"/>
        </w:tabs>
        <w:ind w:left="1080" w:hanging="720"/>
        <w:jc w:val="both"/>
        <w:rPr>
          <w:b/>
          <w:bCs/>
          <w:sz w:val="22"/>
          <w:szCs w:val="22"/>
        </w:rPr>
      </w:pPr>
    </w:p>
    <w:p w:rsidR="00CF0B19" w:rsidRPr="00C76550" w:rsidRDefault="00CF0B19" w:rsidP="007311A3">
      <w:pPr>
        <w:tabs>
          <w:tab w:val="left" w:pos="1080"/>
        </w:tabs>
        <w:ind w:left="1080" w:hanging="720"/>
        <w:jc w:val="both"/>
        <w:rPr>
          <w:sz w:val="22"/>
          <w:szCs w:val="22"/>
        </w:rPr>
      </w:pPr>
      <w:r w:rsidRPr="00C76550">
        <w:rPr>
          <w:b/>
          <w:bCs/>
          <w:sz w:val="22"/>
          <w:szCs w:val="22"/>
        </w:rPr>
        <w:tab/>
      </w:r>
      <w:r w:rsidRPr="00C76550">
        <w:rPr>
          <w:b/>
          <w:bCs/>
          <w:sz w:val="22"/>
          <w:szCs w:val="22"/>
        </w:rPr>
        <w:object w:dxaOrig="9090" w:dyaOrig="4420">
          <v:shape id="_x0000_i1028" type="#_x0000_t75" style="width:450pt;height:219pt" o:ole="" fillcolor="window">
            <v:imagedata r:id="rId13" o:title=""/>
          </v:shape>
          <o:OLEObject Type="Embed" ProgID="Excel.Sheet.8" ShapeID="_x0000_i1028" DrawAspect="Content" ObjectID="_1359467555" r:id="rId14"/>
        </w:object>
      </w:r>
      <w:r w:rsidRPr="00C76550">
        <w:rPr>
          <w:b/>
          <w:bCs/>
          <w:sz w:val="22"/>
          <w:szCs w:val="22"/>
        </w:rPr>
        <w:t xml:space="preserve">   </w:t>
      </w:r>
    </w:p>
    <w:p w:rsidR="00CF0B19" w:rsidRPr="00C76550" w:rsidRDefault="00CF0B19" w:rsidP="008A18FC">
      <w:pPr>
        <w:tabs>
          <w:tab w:val="left" w:pos="1080"/>
        </w:tabs>
        <w:ind w:left="1080" w:hanging="720"/>
        <w:jc w:val="both"/>
        <w:rPr>
          <w:sz w:val="22"/>
          <w:szCs w:val="22"/>
        </w:rPr>
      </w:pPr>
    </w:p>
    <w:p w:rsidR="00CF0B19" w:rsidRPr="00C76550" w:rsidRDefault="00CF0B19" w:rsidP="008A18FC">
      <w:pPr>
        <w:tabs>
          <w:tab w:val="left" w:pos="1080"/>
        </w:tabs>
        <w:ind w:left="1080" w:hanging="720"/>
        <w:jc w:val="both"/>
        <w:rPr>
          <w:sz w:val="22"/>
          <w:szCs w:val="22"/>
        </w:rPr>
      </w:pPr>
    </w:p>
    <w:p w:rsidR="00CF0B19" w:rsidRPr="00C76550" w:rsidRDefault="00CF0B19" w:rsidP="008A18FC">
      <w:pPr>
        <w:tabs>
          <w:tab w:val="left" w:pos="1080"/>
        </w:tabs>
        <w:ind w:left="1080" w:hanging="720"/>
        <w:jc w:val="both"/>
        <w:rPr>
          <w:sz w:val="22"/>
          <w:szCs w:val="22"/>
        </w:rPr>
      </w:pPr>
      <w:r w:rsidRPr="00C76550">
        <w:rPr>
          <w:sz w:val="22"/>
          <w:szCs w:val="22"/>
        </w:rPr>
        <w:t>By order of the Board</w:t>
      </w:r>
    </w:p>
    <w:p w:rsidR="00CF0B19" w:rsidRPr="00C76550" w:rsidRDefault="00CF0B19" w:rsidP="008A18FC">
      <w:pPr>
        <w:tabs>
          <w:tab w:val="left" w:pos="1080"/>
        </w:tabs>
        <w:ind w:left="1080" w:hanging="720"/>
        <w:jc w:val="both"/>
        <w:rPr>
          <w:sz w:val="22"/>
          <w:szCs w:val="22"/>
        </w:rPr>
      </w:pPr>
      <w:r w:rsidRPr="00C76550">
        <w:rPr>
          <w:sz w:val="22"/>
          <w:szCs w:val="22"/>
        </w:rPr>
        <w:t>Mr. Liang Hsiu-Chang</w:t>
      </w:r>
    </w:p>
    <w:p w:rsidR="00CF0B19" w:rsidRPr="00C76550" w:rsidRDefault="00CF0B19" w:rsidP="008A18FC">
      <w:pPr>
        <w:tabs>
          <w:tab w:val="left" w:pos="1080"/>
        </w:tabs>
        <w:ind w:left="1080" w:hanging="720"/>
        <w:jc w:val="both"/>
        <w:rPr>
          <w:sz w:val="22"/>
          <w:szCs w:val="22"/>
        </w:rPr>
      </w:pPr>
      <w:r w:rsidRPr="00C76550">
        <w:rPr>
          <w:sz w:val="22"/>
          <w:szCs w:val="22"/>
        </w:rPr>
        <w:t>Group Managing Director</w:t>
      </w:r>
    </w:p>
    <w:p w:rsidR="00CF0B19" w:rsidRDefault="00CF0B19" w:rsidP="000E2122">
      <w:pPr>
        <w:tabs>
          <w:tab w:val="left" w:pos="1080"/>
        </w:tabs>
        <w:ind w:left="1080" w:hanging="720"/>
        <w:jc w:val="both"/>
        <w:rPr>
          <w:sz w:val="22"/>
          <w:szCs w:val="22"/>
        </w:rPr>
      </w:pPr>
      <w:r w:rsidRPr="00C76550">
        <w:rPr>
          <w:sz w:val="22"/>
          <w:szCs w:val="22"/>
        </w:rPr>
        <w:t>17</w:t>
      </w:r>
      <w:r w:rsidRPr="00C76550">
        <w:rPr>
          <w:sz w:val="22"/>
          <w:szCs w:val="22"/>
          <w:vertAlign w:val="superscript"/>
        </w:rPr>
        <w:t>th</w:t>
      </w:r>
      <w:r w:rsidRPr="00C76550">
        <w:rPr>
          <w:sz w:val="22"/>
          <w:szCs w:val="22"/>
        </w:rPr>
        <w:t xml:space="preserve"> February 2011</w:t>
      </w:r>
    </w:p>
    <w:p w:rsidR="00CF0B19" w:rsidRPr="00DD610B" w:rsidRDefault="00CF0B19" w:rsidP="000E2122">
      <w:pPr>
        <w:tabs>
          <w:tab w:val="left" w:pos="1080"/>
        </w:tabs>
        <w:ind w:left="1080" w:hanging="720"/>
        <w:jc w:val="both"/>
        <w:rPr>
          <w:sz w:val="22"/>
          <w:szCs w:val="22"/>
        </w:rPr>
      </w:pPr>
    </w:p>
    <w:sectPr w:rsidR="00CF0B19" w:rsidRPr="00DD610B" w:rsidSect="004D6E06">
      <w:headerReference w:type="default" r:id="rId15"/>
      <w:footerReference w:type="even" r:id="rId16"/>
      <w:footerReference w:type="default" r:id="rId17"/>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19" w:rsidRDefault="00CF0B19">
      <w:r>
        <w:separator/>
      </w:r>
    </w:p>
  </w:endnote>
  <w:endnote w:type="continuationSeparator" w:id="1">
    <w:p w:rsidR="00CF0B19" w:rsidRDefault="00CF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19" w:rsidRDefault="00CF0B19"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B19" w:rsidRDefault="00CF0B19"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19" w:rsidRDefault="00CF0B19"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rsidR="00CF0B19" w:rsidRDefault="00CF0B19">
    <w:pPr>
      <w:pStyle w:val="Footer"/>
      <w:ind w:right="360"/>
      <w:jc w:val="center"/>
      <w:rPr>
        <w:sz w:val="22"/>
        <w:szCs w:val="22"/>
      </w:rPr>
    </w:pPr>
  </w:p>
  <w:p w:rsidR="00CF0B19" w:rsidRDefault="00CF0B19">
    <w:pPr>
      <w:pStyle w:val="Footer"/>
      <w:ind w:right="360"/>
      <w:jc w:val="center"/>
      <w:rPr>
        <w:sz w:val="22"/>
        <w:szCs w:val="22"/>
      </w:rPr>
    </w:pPr>
  </w:p>
  <w:p w:rsidR="00CF0B19" w:rsidRDefault="00CF0B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19" w:rsidRDefault="00CF0B19">
      <w:r>
        <w:separator/>
      </w:r>
    </w:p>
  </w:footnote>
  <w:footnote w:type="continuationSeparator" w:id="1">
    <w:p w:rsidR="00CF0B19" w:rsidRDefault="00CF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19" w:rsidRDefault="00CF0B19">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CF0B19" w:rsidRPr="005B45A4" w:rsidRDefault="00CF0B19">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CF0B19" w:rsidRDefault="00CF0B19">
    <w:pPr>
      <w:pStyle w:val="Header"/>
      <w:rPr>
        <w:rFonts w:ascii="Arial" w:hAnsi="Arial" w:cs="Arial"/>
        <w:b/>
        <w:bCs/>
        <w:i/>
        <w:iCs/>
        <w:sz w:val="22"/>
        <w:szCs w:val="22"/>
      </w:rPr>
    </w:pPr>
  </w:p>
  <w:p w:rsidR="00CF0B19" w:rsidRDefault="00CF0B19">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Pr>
        <w:rFonts w:ascii="Arial" w:hAnsi="Arial" w:cs="Arial"/>
        <w:b/>
        <w:bCs/>
        <w:sz w:val="22"/>
        <w:szCs w:val="22"/>
      </w:rPr>
      <w:t>Twelve Months Ended 31 December 2010</w:t>
    </w:r>
  </w:p>
  <w:p w:rsidR="00CF0B19" w:rsidRDefault="00CF0B19">
    <w:pPr>
      <w:pStyle w:val="Header"/>
      <w:tabs>
        <w:tab w:val="clear" w:pos="8640"/>
        <w:tab w:val="right" w:pos="10109"/>
      </w:tabs>
    </w:pPr>
  </w:p>
  <w:p w:rsidR="00CF0B19" w:rsidRDefault="00CF0B19">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4">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0C75"/>
    <w:rsid w:val="00021792"/>
    <w:rsid w:val="00022578"/>
    <w:rsid w:val="00025A61"/>
    <w:rsid w:val="00025E79"/>
    <w:rsid w:val="00026D28"/>
    <w:rsid w:val="000304EF"/>
    <w:rsid w:val="00031D0C"/>
    <w:rsid w:val="00032743"/>
    <w:rsid w:val="000352B8"/>
    <w:rsid w:val="000373B8"/>
    <w:rsid w:val="0003782B"/>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67E58"/>
    <w:rsid w:val="0007104E"/>
    <w:rsid w:val="00071179"/>
    <w:rsid w:val="00071310"/>
    <w:rsid w:val="00075C29"/>
    <w:rsid w:val="0008024C"/>
    <w:rsid w:val="00080C1C"/>
    <w:rsid w:val="000844C8"/>
    <w:rsid w:val="00084926"/>
    <w:rsid w:val="00086FD0"/>
    <w:rsid w:val="0009033B"/>
    <w:rsid w:val="00090C55"/>
    <w:rsid w:val="000911A0"/>
    <w:rsid w:val="0009181B"/>
    <w:rsid w:val="0009634B"/>
    <w:rsid w:val="000964D1"/>
    <w:rsid w:val="000A34EA"/>
    <w:rsid w:val="000A598A"/>
    <w:rsid w:val="000A5E87"/>
    <w:rsid w:val="000A6A8F"/>
    <w:rsid w:val="000B0E1E"/>
    <w:rsid w:val="000B48F9"/>
    <w:rsid w:val="000B59C0"/>
    <w:rsid w:val="000B5D0D"/>
    <w:rsid w:val="000B63EB"/>
    <w:rsid w:val="000C06D6"/>
    <w:rsid w:val="000C4A21"/>
    <w:rsid w:val="000D0977"/>
    <w:rsid w:val="000E11E6"/>
    <w:rsid w:val="000E1B5F"/>
    <w:rsid w:val="000E2122"/>
    <w:rsid w:val="000E3550"/>
    <w:rsid w:val="000E3781"/>
    <w:rsid w:val="000E629A"/>
    <w:rsid w:val="000F508D"/>
    <w:rsid w:val="000F6F17"/>
    <w:rsid w:val="00100DF1"/>
    <w:rsid w:val="001021FA"/>
    <w:rsid w:val="001022D3"/>
    <w:rsid w:val="001111DB"/>
    <w:rsid w:val="0011202A"/>
    <w:rsid w:val="00114710"/>
    <w:rsid w:val="0011676D"/>
    <w:rsid w:val="001167D8"/>
    <w:rsid w:val="001168F1"/>
    <w:rsid w:val="001179CC"/>
    <w:rsid w:val="00120919"/>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781F"/>
    <w:rsid w:val="00147BCE"/>
    <w:rsid w:val="00150673"/>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4C85"/>
    <w:rsid w:val="00184CBC"/>
    <w:rsid w:val="00186589"/>
    <w:rsid w:val="001909C0"/>
    <w:rsid w:val="00190BFA"/>
    <w:rsid w:val="00191E76"/>
    <w:rsid w:val="0019220E"/>
    <w:rsid w:val="00192282"/>
    <w:rsid w:val="00192FCC"/>
    <w:rsid w:val="0019354A"/>
    <w:rsid w:val="001955FC"/>
    <w:rsid w:val="00195756"/>
    <w:rsid w:val="001967CD"/>
    <w:rsid w:val="001970C8"/>
    <w:rsid w:val="001A0466"/>
    <w:rsid w:val="001A06BA"/>
    <w:rsid w:val="001A0F1D"/>
    <w:rsid w:val="001A18DB"/>
    <w:rsid w:val="001A6499"/>
    <w:rsid w:val="001B1273"/>
    <w:rsid w:val="001B1A43"/>
    <w:rsid w:val="001B20D3"/>
    <w:rsid w:val="001B2C49"/>
    <w:rsid w:val="001B3DFD"/>
    <w:rsid w:val="001B742B"/>
    <w:rsid w:val="001C0E72"/>
    <w:rsid w:val="001C191E"/>
    <w:rsid w:val="001C41D8"/>
    <w:rsid w:val="001C4395"/>
    <w:rsid w:val="001C56CB"/>
    <w:rsid w:val="001D0AC1"/>
    <w:rsid w:val="001D1896"/>
    <w:rsid w:val="001D28A1"/>
    <w:rsid w:val="001D2CFF"/>
    <w:rsid w:val="001D6100"/>
    <w:rsid w:val="001D6BF2"/>
    <w:rsid w:val="001E0F78"/>
    <w:rsid w:val="001E49B0"/>
    <w:rsid w:val="001E5777"/>
    <w:rsid w:val="001E636C"/>
    <w:rsid w:val="001E67C5"/>
    <w:rsid w:val="001F43F4"/>
    <w:rsid w:val="001F5046"/>
    <w:rsid w:val="001F796C"/>
    <w:rsid w:val="00201FD0"/>
    <w:rsid w:val="0021011E"/>
    <w:rsid w:val="00211A23"/>
    <w:rsid w:val="00215D33"/>
    <w:rsid w:val="00216203"/>
    <w:rsid w:val="002221C3"/>
    <w:rsid w:val="00222286"/>
    <w:rsid w:val="0022446F"/>
    <w:rsid w:val="00224D4B"/>
    <w:rsid w:val="0022702D"/>
    <w:rsid w:val="0023132F"/>
    <w:rsid w:val="00231F9A"/>
    <w:rsid w:val="00236FCE"/>
    <w:rsid w:val="0023705D"/>
    <w:rsid w:val="0024062A"/>
    <w:rsid w:val="002417AF"/>
    <w:rsid w:val="00242278"/>
    <w:rsid w:val="0024269B"/>
    <w:rsid w:val="002462F7"/>
    <w:rsid w:val="0024765A"/>
    <w:rsid w:val="0025075B"/>
    <w:rsid w:val="00252D64"/>
    <w:rsid w:val="00252EC0"/>
    <w:rsid w:val="00255A1A"/>
    <w:rsid w:val="00255FF6"/>
    <w:rsid w:val="00256B89"/>
    <w:rsid w:val="0026105A"/>
    <w:rsid w:val="002611A3"/>
    <w:rsid w:val="00261319"/>
    <w:rsid w:val="00263325"/>
    <w:rsid w:val="002655BF"/>
    <w:rsid w:val="00266ABD"/>
    <w:rsid w:val="002718D8"/>
    <w:rsid w:val="00280344"/>
    <w:rsid w:val="00281CF0"/>
    <w:rsid w:val="0028273C"/>
    <w:rsid w:val="00282A0C"/>
    <w:rsid w:val="00284078"/>
    <w:rsid w:val="00284BE2"/>
    <w:rsid w:val="002859B7"/>
    <w:rsid w:val="00286AAA"/>
    <w:rsid w:val="00287387"/>
    <w:rsid w:val="0028791B"/>
    <w:rsid w:val="00287A83"/>
    <w:rsid w:val="00290E34"/>
    <w:rsid w:val="0029126D"/>
    <w:rsid w:val="00291290"/>
    <w:rsid w:val="0029420D"/>
    <w:rsid w:val="002957C0"/>
    <w:rsid w:val="00295F0B"/>
    <w:rsid w:val="00295FFE"/>
    <w:rsid w:val="00296129"/>
    <w:rsid w:val="002962EB"/>
    <w:rsid w:val="002A0460"/>
    <w:rsid w:val="002A65A7"/>
    <w:rsid w:val="002A71A8"/>
    <w:rsid w:val="002A7E10"/>
    <w:rsid w:val="002B04A0"/>
    <w:rsid w:val="002B1FDF"/>
    <w:rsid w:val="002B7DC7"/>
    <w:rsid w:val="002B7E69"/>
    <w:rsid w:val="002C08CC"/>
    <w:rsid w:val="002C1640"/>
    <w:rsid w:val="002C3F19"/>
    <w:rsid w:val="002C6070"/>
    <w:rsid w:val="002C64C8"/>
    <w:rsid w:val="002D2027"/>
    <w:rsid w:val="002D5F1A"/>
    <w:rsid w:val="002E29BE"/>
    <w:rsid w:val="002E3D34"/>
    <w:rsid w:val="002E5DE0"/>
    <w:rsid w:val="002E7366"/>
    <w:rsid w:val="002F031D"/>
    <w:rsid w:val="002F1EC9"/>
    <w:rsid w:val="002F35A3"/>
    <w:rsid w:val="002F373C"/>
    <w:rsid w:val="002F4018"/>
    <w:rsid w:val="002F582F"/>
    <w:rsid w:val="002F69FB"/>
    <w:rsid w:val="002F7AA6"/>
    <w:rsid w:val="00301EED"/>
    <w:rsid w:val="003038BB"/>
    <w:rsid w:val="00303EF2"/>
    <w:rsid w:val="00305369"/>
    <w:rsid w:val="00306E0E"/>
    <w:rsid w:val="003126AC"/>
    <w:rsid w:val="00315196"/>
    <w:rsid w:val="003166E2"/>
    <w:rsid w:val="003222C0"/>
    <w:rsid w:val="00322A99"/>
    <w:rsid w:val="00324838"/>
    <w:rsid w:val="003249F2"/>
    <w:rsid w:val="00326CFA"/>
    <w:rsid w:val="00332454"/>
    <w:rsid w:val="003329CA"/>
    <w:rsid w:val="00335269"/>
    <w:rsid w:val="00335F8B"/>
    <w:rsid w:val="00337AFF"/>
    <w:rsid w:val="00340F66"/>
    <w:rsid w:val="003453F8"/>
    <w:rsid w:val="00345A2D"/>
    <w:rsid w:val="00345E40"/>
    <w:rsid w:val="00346627"/>
    <w:rsid w:val="0034739E"/>
    <w:rsid w:val="0034797F"/>
    <w:rsid w:val="0035462F"/>
    <w:rsid w:val="00354922"/>
    <w:rsid w:val="003550C9"/>
    <w:rsid w:val="003558E4"/>
    <w:rsid w:val="00356C9C"/>
    <w:rsid w:val="00357EC1"/>
    <w:rsid w:val="00360DBF"/>
    <w:rsid w:val="00361C97"/>
    <w:rsid w:val="003622C7"/>
    <w:rsid w:val="0036284F"/>
    <w:rsid w:val="00362FA1"/>
    <w:rsid w:val="00363A66"/>
    <w:rsid w:val="00363E20"/>
    <w:rsid w:val="00365D83"/>
    <w:rsid w:val="0036627F"/>
    <w:rsid w:val="003667B3"/>
    <w:rsid w:val="0037174C"/>
    <w:rsid w:val="003757FA"/>
    <w:rsid w:val="0037611B"/>
    <w:rsid w:val="003842DB"/>
    <w:rsid w:val="00385C82"/>
    <w:rsid w:val="00385C90"/>
    <w:rsid w:val="00387099"/>
    <w:rsid w:val="003875D8"/>
    <w:rsid w:val="003876CC"/>
    <w:rsid w:val="00391F32"/>
    <w:rsid w:val="00393B27"/>
    <w:rsid w:val="003940DD"/>
    <w:rsid w:val="0039765B"/>
    <w:rsid w:val="003A407F"/>
    <w:rsid w:val="003A5826"/>
    <w:rsid w:val="003A62E5"/>
    <w:rsid w:val="003A7DE4"/>
    <w:rsid w:val="003B0D08"/>
    <w:rsid w:val="003B1EB6"/>
    <w:rsid w:val="003C1BD7"/>
    <w:rsid w:val="003C3058"/>
    <w:rsid w:val="003C359C"/>
    <w:rsid w:val="003C3B6A"/>
    <w:rsid w:val="003C53B8"/>
    <w:rsid w:val="003C6770"/>
    <w:rsid w:val="003C7BBA"/>
    <w:rsid w:val="003D4566"/>
    <w:rsid w:val="003E29F5"/>
    <w:rsid w:val="003E3BD5"/>
    <w:rsid w:val="003E45F5"/>
    <w:rsid w:val="003E5159"/>
    <w:rsid w:val="003E5681"/>
    <w:rsid w:val="003E6A6B"/>
    <w:rsid w:val="003E6FFD"/>
    <w:rsid w:val="003F1232"/>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10D4"/>
    <w:rsid w:val="00422E99"/>
    <w:rsid w:val="004258FD"/>
    <w:rsid w:val="00435DD0"/>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605F"/>
    <w:rsid w:val="004678EC"/>
    <w:rsid w:val="00470B6A"/>
    <w:rsid w:val="0047220A"/>
    <w:rsid w:val="00472F48"/>
    <w:rsid w:val="00473B80"/>
    <w:rsid w:val="00475CB6"/>
    <w:rsid w:val="00477539"/>
    <w:rsid w:val="0048046C"/>
    <w:rsid w:val="00481400"/>
    <w:rsid w:val="00481E81"/>
    <w:rsid w:val="00485E12"/>
    <w:rsid w:val="00486C68"/>
    <w:rsid w:val="00490571"/>
    <w:rsid w:val="0049091E"/>
    <w:rsid w:val="00491791"/>
    <w:rsid w:val="00491BCF"/>
    <w:rsid w:val="00492B7C"/>
    <w:rsid w:val="00492C73"/>
    <w:rsid w:val="004930E6"/>
    <w:rsid w:val="004957E2"/>
    <w:rsid w:val="00496B42"/>
    <w:rsid w:val="004A1192"/>
    <w:rsid w:val="004A246E"/>
    <w:rsid w:val="004A2494"/>
    <w:rsid w:val="004A2A35"/>
    <w:rsid w:val="004A455E"/>
    <w:rsid w:val="004A5D67"/>
    <w:rsid w:val="004A7788"/>
    <w:rsid w:val="004B235B"/>
    <w:rsid w:val="004B5B96"/>
    <w:rsid w:val="004C012E"/>
    <w:rsid w:val="004C3A44"/>
    <w:rsid w:val="004C7594"/>
    <w:rsid w:val="004C7922"/>
    <w:rsid w:val="004D0782"/>
    <w:rsid w:val="004D30B7"/>
    <w:rsid w:val="004D6E06"/>
    <w:rsid w:val="004D7A1C"/>
    <w:rsid w:val="004E16D3"/>
    <w:rsid w:val="004E19EC"/>
    <w:rsid w:val="004E4BC1"/>
    <w:rsid w:val="004E65AB"/>
    <w:rsid w:val="004E70AA"/>
    <w:rsid w:val="004E7520"/>
    <w:rsid w:val="004E7952"/>
    <w:rsid w:val="004F0B14"/>
    <w:rsid w:val="004F1C70"/>
    <w:rsid w:val="004F230C"/>
    <w:rsid w:val="004F3EA7"/>
    <w:rsid w:val="004F437C"/>
    <w:rsid w:val="004F7C9A"/>
    <w:rsid w:val="0050090E"/>
    <w:rsid w:val="00500D6C"/>
    <w:rsid w:val="005023C6"/>
    <w:rsid w:val="0051271A"/>
    <w:rsid w:val="00513C94"/>
    <w:rsid w:val="00514C6C"/>
    <w:rsid w:val="00514F79"/>
    <w:rsid w:val="005155AF"/>
    <w:rsid w:val="00515E1D"/>
    <w:rsid w:val="005226D8"/>
    <w:rsid w:val="00525292"/>
    <w:rsid w:val="00525D03"/>
    <w:rsid w:val="00526A9E"/>
    <w:rsid w:val="00527A69"/>
    <w:rsid w:val="005334F4"/>
    <w:rsid w:val="00534B84"/>
    <w:rsid w:val="00534C46"/>
    <w:rsid w:val="00536772"/>
    <w:rsid w:val="005371F8"/>
    <w:rsid w:val="00541F95"/>
    <w:rsid w:val="00542FAB"/>
    <w:rsid w:val="00544FCD"/>
    <w:rsid w:val="00546F05"/>
    <w:rsid w:val="00550AE4"/>
    <w:rsid w:val="00550C13"/>
    <w:rsid w:val="00553AD0"/>
    <w:rsid w:val="00554F9D"/>
    <w:rsid w:val="00556AFB"/>
    <w:rsid w:val="00566E7B"/>
    <w:rsid w:val="00567D27"/>
    <w:rsid w:val="005721D3"/>
    <w:rsid w:val="00572228"/>
    <w:rsid w:val="00574DC2"/>
    <w:rsid w:val="00582F80"/>
    <w:rsid w:val="00585213"/>
    <w:rsid w:val="00585D87"/>
    <w:rsid w:val="00586EF0"/>
    <w:rsid w:val="00587A70"/>
    <w:rsid w:val="00593BDE"/>
    <w:rsid w:val="00593D56"/>
    <w:rsid w:val="00596091"/>
    <w:rsid w:val="00596FB4"/>
    <w:rsid w:val="005A0846"/>
    <w:rsid w:val="005A2B1E"/>
    <w:rsid w:val="005A3150"/>
    <w:rsid w:val="005A3D6E"/>
    <w:rsid w:val="005A671B"/>
    <w:rsid w:val="005A7095"/>
    <w:rsid w:val="005A72CA"/>
    <w:rsid w:val="005A7840"/>
    <w:rsid w:val="005A7A43"/>
    <w:rsid w:val="005B37F4"/>
    <w:rsid w:val="005B43EF"/>
    <w:rsid w:val="005B45A4"/>
    <w:rsid w:val="005B4625"/>
    <w:rsid w:val="005B67C6"/>
    <w:rsid w:val="005C0812"/>
    <w:rsid w:val="005C41F4"/>
    <w:rsid w:val="005C5C5B"/>
    <w:rsid w:val="005C612C"/>
    <w:rsid w:val="005C68E9"/>
    <w:rsid w:val="005C735C"/>
    <w:rsid w:val="005C78E2"/>
    <w:rsid w:val="005D010D"/>
    <w:rsid w:val="005D2711"/>
    <w:rsid w:val="005E06C9"/>
    <w:rsid w:val="005E10A6"/>
    <w:rsid w:val="005E1524"/>
    <w:rsid w:val="005E1C79"/>
    <w:rsid w:val="005E56FA"/>
    <w:rsid w:val="005E5CDD"/>
    <w:rsid w:val="005F5CA0"/>
    <w:rsid w:val="005F647D"/>
    <w:rsid w:val="00600229"/>
    <w:rsid w:val="00601BEB"/>
    <w:rsid w:val="00603AA4"/>
    <w:rsid w:val="00603E3C"/>
    <w:rsid w:val="006055F7"/>
    <w:rsid w:val="00606AFC"/>
    <w:rsid w:val="006073E2"/>
    <w:rsid w:val="00607497"/>
    <w:rsid w:val="006130EA"/>
    <w:rsid w:val="00620D92"/>
    <w:rsid w:val="00621E40"/>
    <w:rsid w:val="00624DB2"/>
    <w:rsid w:val="00624EEC"/>
    <w:rsid w:val="006332C3"/>
    <w:rsid w:val="006337F0"/>
    <w:rsid w:val="006338EA"/>
    <w:rsid w:val="00634207"/>
    <w:rsid w:val="00634CF2"/>
    <w:rsid w:val="0063675F"/>
    <w:rsid w:val="0063714C"/>
    <w:rsid w:val="00637F81"/>
    <w:rsid w:val="0064500D"/>
    <w:rsid w:val="00647817"/>
    <w:rsid w:val="006479AD"/>
    <w:rsid w:val="00651E62"/>
    <w:rsid w:val="0065215D"/>
    <w:rsid w:val="00653D09"/>
    <w:rsid w:val="006543E5"/>
    <w:rsid w:val="00654522"/>
    <w:rsid w:val="006546A4"/>
    <w:rsid w:val="006558DE"/>
    <w:rsid w:val="006607BA"/>
    <w:rsid w:val="00660AC2"/>
    <w:rsid w:val="0066279B"/>
    <w:rsid w:val="0066298E"/>
    <w:rsid w:val="00663AB8"/>
    <w:rsid w:val="00663B22"/>
    <w:rsid w:val="0067237A"/>
    <w:rsid w:val="00675FAF"/>
    <w:rsid w:val="00680E7D"/>
    <w:rsid w:val="006845AA"/>
    <w:rsid w:val="00685201"/>
    <w:rsid w:val="00686F8C"/>
    <w:rsid w:val="00687AAB"/>
    <w:rsid w:val="00687AB6"/>
    <w:rsid w:val="006915C7"/>
    <w:rsid w:val="006950F8"/>
    <w:rsid w:val="006952FB"/>
    <w:rsid w:val="00695C16"/>
    <w:rsid w:val="006962F2"/>
    <w:rsid w:val="006A32AF"/>
    <w:rsid w:val="006A35F8"/>
    <w:rsid w:val="006A4991"/>
    <w:rsid w:val="006A50C2"/>
    <w:rsid w:val="006A6FC5"/>
    <w:rsid w:val="006B316A"/>
    <w:rsid w:val="006B45F1"/>
    <w:rsid w:val="006B51AC"/>
    <w:rsid w:val="006B696B"/>
    <w:rsid w:val="006C261C"/>
    <w:rsid w:val="006C2726"/>
    <w:rsid w:val="006C2E54"/>
    <w:rsid w:val="006C37F6"/>
    <w:rsid w:val="006C714B"/>
    <w:rsid w:val="006D059D"/>
    <w:rsid w:val="006D3DF5"/>
    <w:rsid w:val="006D482D"/>
    <w:rsid w:val="006E1536"/>
    <w:rsid w:val="006E6069"/>
    <w:rsid w:val="006E6072"/>
    <w:rsid w:val="006E67A7"/>
    <w:rsid w:val="006E7D14"/>
    <w:rsid w:val="006F1431"/>
    <w:rsid w:val="006F1673"/>
    <w:rsid w:val="006F3515"/>
    <w:rsid w:val="006F42EE"/>
    <w:rsid w:val="006F430A"/>
    <w:rsid w:val="006F4890"/>
    <w:rsid w:val="006F5FE0"/>
    <w:rsid w:val="006F6BAD"/>
    <w:rsid w:val="0070125A"/>
    <w:rsid w:val="00702CF1"/>
    <w:rsid w:val="007031B1"/>
    <w:rsid w:val="007043E0"/>
    <w:rsid w:val="00706EF9"/>
    <w:rsid w:val="00707929"/>
    <w:rsid w:val="00710DDE"/>
    <w:rsid w:val="007146CD"/>
    <w:rsid w:val="0071520F"/>
    <w:rsid w:val="00722B11"/>
    <w:rsid w:val="00723601"/>
    <w:rsid w:val="007266DC"/>
    <w:rsid w:val="00727F6A"/>
    <w:rsid w:val="00727F84"/>
    <w:rsid w:val="007311A3"/>
    <w:rsid w:val="00732F29"/>
    <w:rsid w:val="00736381"/>
    <w:rsid w:val="00736659"/>
    <w:rsid w:val="007377B9"/>
    <w:rsid w:val="007378C7"/>
    <w:rsid w:val="0074167C"/>
    <w:rsid w:val="0074305D"/>
    <w:rsid w:val="007433AA"/>
    <w:rsid w:val="00743666"/>
    <w:rsid w:val="00745637"/>
    <w:rsid w:val="00745F86"/>
    <w:rsid w:val="00746805"/>
    <w:rsid w:val="00746C15"/>
    <w:rsid w:val="00754480"/>
    <w:rsid w:val="00754E31"/>
    <w:rsid w:val="00762EED"/>
    <w:rsid w:val="00762F12"/>
    <w:rsid w:val="007663B9"/>
    <w:rsid w:val="007674FD"/>
    <w:rsid w:val="00770CC9"/>
    <w:rsid w:val="007711E5"/>
    <w:rsid w:val="00774586"/>
    <w:rsid w:val="0077469D"/>
    <w:rsid w:val="007752AE"/>
    <w:rsid w:val="00775696"/>
    <w:rsid w:val="00777EA0"/>
    <w:rsid w:val="00782470"/>
    <w:rsid w:val="00782715"/>
    <w:rsid w:val="00782E6F"/>
    <w:rsid w:val="0078493B"/>
    <w:rsid w:val="007904AD"/>
    <w:rsid w:val="0079241A"/>
    <w:rsid w:val="00793B03"/>
    <w:rsid w:val="0079582C"/>
    <w:rsid w:val="00795EE1"/>
    <w:rsid w:val="00795F3B"/>
    <w:rsid w:val="007A0915"/>
    <w:rsid w:val="007A18C7"/>
    <w:rsid w:val="007A3A47"/>
    <w:rsid w:val="007B5823"/>
    <w:rsid w:val="007B6F92"/>
    <w:rsid w:val="007B7018"/>
    <w:rsid w:val="007B75DD"/>
    <w:rsid w:val="007C1606"/>
    <w:rsid w:val="007C16B8"/>
    <w:rsid w:val="007C26DD"/>
    <w:rsid w:val="007C4C48"/>
    <w:rsid w:val="007C780F"/>
    <w:rsid w:val="007D4154"/>
    <w:rsid w:val="007D6B08"/>
    <w:rsid w:val="007D6C86"/>
    <w:rsid w:val="007E1614"/>
    <w:rsid w:val="007E19AA"/>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621"/>
    <w:rsid w:val="00826EE6"/>
    <w:rsid w:val="00827266"/>
    <w:rsid w:val="00834855"/>
    <w:rsid w:val="0084005C"/>
    <w:rsid w:val="00840B55"/>
    <w:rsid w:val="008413E8"/>
    <w:rsid w:val="008428EE"/>
    <w:rsid w:val="00843244"/>
    <w:rsid w:val="00845712"/>
    <w:rsid w:val="00855280"/>
    <w:rsid w:val="008565E8"/>
    <w:rsid w:val="00860F3F"/>
    <w:rsid w:val="008615D2"/>
    <w:rsid w:val="0086160E"/>
    <w:rsid w:val="00862ADB"/>
    <w:rsid w:val="008637C6"/>
    <w:rsid w:val="0087072E"/>
    <w:rsid w:val="0087129D"/>
    <w:rsid w:val="00874C3E"/>
    <w:rsid w:val="00875F1A"/>
    <w:rsid w:val="00876315"/>
    <w:rsid w:val="00876D3A"/>
    <w:rsid w:val="00880164"/>
    <w:rsid w:val="0088322F"/>
    <w:rsid w:val="00884140"/>
    <w:rsid w:val="0088485C"/>
    <w:rsid w:val="00886D4C"/>
    <w:rsid w:val="00886EA1"/>
    <w:rsid w:val="00890915"/>
    <w:rsid w:val="00892172"/>
    <w:rsid w:val="0089227E"/>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77EF"/>
    <w:rsid w:val="008B7D71"/>
    <w:rsid w:val="008C0C8E"/>
    <w:rsid w:val="008C2EB7"/>
    <w:rsid w:val="008C506B"/>
    <w:rsid w:val="008C6416"/>
    <w:rsid w:val="008D1AB0"/>
    <w:rsid w:val="008D1F8C"/>
    <w:rsid w:val="008D3545"/>
    <w:rsid w:val="008D4986"/>
    <w:rsid w:val="008D4A71"/>
    <w:rsid w:val="008E1D62"/>
    <w:rsid w:val="008E2E54"/>
    <w:rsid w:val="008E42DC"/>
    <w:rsid w:val="008E6774"/>
    <w:rsid w:val="008E68C5"/>
    <w:rsid w:val="008E7C2B"/>
    <w:rsid w:val="008F1F22"/>
    <w:rsid w:val="008F1FB6"/>
    <w:rsid w:val="008F23D2"/>
    <w:rsid w:val="008F2B32"/>
    <w:rsid w:val="008F3490"/>
    <w:rsid w:val="008F45D4"/>
    <w:rsid w:val="008F6D30"/>
    <w:rsid w:val="008F7880"/>
    <w:rsid w:val="00900B36"/>
    <w:rsid w:val="00902376"/>
    <w:rsid w:val="009036F3"/>
    <w:rsid w:val="00904C64"/>
    <w:rsid w:val="00906436"/>
    <w:rsid w:val="00911183"/>
    <w:rsid w:val="0091400D"/>
    <w:rsid w:val="00914E1C"/>
    <w:rsid w:val="0091538E"/>
    <w:rsid w:val="0091779D"/>
    <w:rsid w:val="0092637F"/>
    <w:rsid w:val="009273DA"/>
    <w:rsid w:val="00930C9D"/>
    <w:rsid w:val="0093164E"/>
    <w:rsid w:val="0093166C"/>
    <w:rsid w:val="009335BC"/>
    <w:rsid w:val="009353B6"/>
    <w:rsid w:val="0093606E"/>
    <w:rsid w:val="00936936"/>
    <w:rsid w:val="00936AD8"/>
    <w:rsid w:val="00936CAD"/>
    <w:rsid w:val="0094022E"/>
    <w:rsid w:val="00942007"/>
    <w:rsid w:val="00945DEF"/>
    <w:rsid w:val="0094698D"/>
    <w:rsid w:val="00950797"/>
    <w:rsid w:val="00950EDD"/>
    <w:rsid w:val="00952A16"/>
    <w:rsid w:val="00953DEE"/>
    <w:rsid w:val="0095425F"/>
    <w:rsid w:val="00955D8A"/>
    <w:rsid w:val="00961E6F"/>
    <w:rsid w:val="00962C84"/>
    <w:rsid w:val="00964EBE"/>
    <w:rsid w:val="00965D17"/>
    <w:rsid w:val="00967958"/>
    <w:rsid w:val="009746DB"/>
    <w:rsid w:val="00975047"/>
    <w:rsid w:val="00975743"/>
    <w:rsid w:val="009760F7"/>
    <w:rsid w:val="00976FAE"/>
    <w:rsid w:val="0098142C"/>
    <w:rsid w:val="0098396B"/>
    <w:rsid w:val="009843CD"/>
    <w:rsid w:val="00991E0F"/>
    <w:rsid w:val="00996F59"/>
    <w:rsid w:val="009A2A07"/>
    <w:rsid w:val="009A3AF6"/>
    <w:rsid w:val="009A60D5"/>
    <w:rsid w:val="009A60EF"/>
    <w:rsid w:val="009A6C43"/>
    <w:rsid w:val="009B1D74"/>
    <w:rsid w:val="009B2E76"/>
    <w:rsid w:val="009B3AAF"/>
    <w:rsid w:val="009B6A30"/>
    <w:rsid w:val="009C0850"/>
    <w:rsid w:val="009C226B"/>
    <w:rsid w:val="009C4FAE"/>
    <w:rsid w:val="009C6836"/>
    <w:rsid w:val="009D0247"/>
    <w:rsid w:val="009D36D9"/>
    <w:rsid w:val="009D383C"/>
    <w:rsid w:val="009D46E9"/>
    <w:rsid w:val="009D51CD"/>
    <w:rsid w:val="009D66F1"/>
    <w:rsid w:val="009D6C09"/>
    <w:rsid w:val="009D7EE1"/>
    <w:rsid w:val="009E20B9"/>
    <w:rsid w:val="009E40F3"/>
    <w:rsid w:val="009E427F"/>
    <w:rsid w:val="009E61B6"/>
    <w:rsid w:val="009E6DDA"/>
    <w:rsid w:val="009F20B3"/>
    <w:rsid w:val="009F2B33"/>
    <w:rsid w:val="009F2C03"/>
    <w:rsid w:val="009F4F5B"/>
    <w:rsid w:val="009F6DD1"/>
    <w:rsid w:val="009F7363"/>
    <w:rsid w:val="00A0037E"/>
    <w:rsid w:val="00A004D5"/>
    <w:rsid w:val="00A018E0"/>
    <w:rsid w:val="00A04F9B"/>
    <w:rsid w:val="00A057AF"/>
    <w:rsid w:val="00A06433"/>
    <w:rsid w:val="00A06800"/>
    <w:rsid w:val="00A0685D"/>
    <w:rsid w:val="00A06A85"/>
    <w:rsid w:val="00A075B8"/>
    <w:rsid w:val="00A11EB8"/>
    <w:rsid w:val="00A1307E"/>
    <w:rsid w:val="00A15FAD"/>
    <w:rsid w:val="00A165FD"/>
    <w:rsid w:val="00A169B1"/>
    <w:rsid w:val="00A1792F"/>
    <w:rsid w:val="00A21A8F"/>
    <w:rsid w:val="00A233C9"/>
    <w:rsid w:val="00A30CB0"/>
    <w:rsid w:val="00A31C22"/>
    <w:rsid w:val="00A31DFB"/>
    <w:rsid w:val="00A33297"/>
    <w:rsid w:val="00A33A3C"/>
    <w:rsid w:val="00A35E79"/>
    <w:rsid w:val="00A410B4"/>
    <w:rsid w:val="00A417CF"/>
    <w:rsid w:val="00A424FC"/>
    <w:rsid w:val="00A4305A"/>
    <w:rsid w:val="00A437BE"/>
    <w:rsid w:val="00A56D30"/>
    <w:rsid w:val="00A57C13"/>
    <w:rsid w:val="00A62DB3"/>
    <w:rsid w:val="00A64E55"/>
    <w:rsid w:val="00A650CC"/>
    <w:rsid w:val="00A65266"/>
    <w:rsid w:val="00A653F7"/>
    <w:rsid w:val="00A676C3"/>
    <w:rsid w:val="00A67C92"/>
    <w:rsid w:val="00A74D1F"/>
    <w:rsid w:val="00A76473"/>
    <w:rsid w:val="00A769AA"/>
    <w:rsid w:val="00A774F2"/>
    <w:rsid w:val="00A77F81"/>
    <w:rsid w:val="00A82FDF"/>
    <w:rsid w:val="00A8538C"/>
    <w:rsid w:val="00A85D93"/>
    <w:rsid w:val="00A86DB6"/>
    <w:rsid w:val="00A93552"/>
    <w:rsid w:val="00A93B51"/>
    <w:rsid w:val="00A93CE7"/>
    <w:rsid w:val="00A94414"/>
    <w:rsid w:val="00A94B37"/>
    <w:rsid w:val="00A975A1"/>
    <w:rsid w:val="00A97A0C"/>
    <w:rsid w:val="00AA152F"/>
    <w:rsid w:val="00AA1B84"/>
    <w:rsid w:val="00AB2D6F"/>
    <w:rsid w:val="00AB60DD"/>
    <w:rsid w:val="00AC432D"/>
    <w:rsid w:val="00AC55A9"/>
    <w:rsid w:val="00AC6C05"/>
    <w:rsid w:val="00AD02C5"/>
    <w:rsid w:val="00AD06C3"/>
    <w:rsid w:val="00AD1B3A"/>
    <w:rsid w:val="00AD2289"/>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737"/>
    <w:rsid w:val="00B10D89"/>
    <w:rsid w:val="00B11880"/>
    <w:rsid w:val="00B11F87"/>
    <w:rsid w:val="00B1320C"/>
    <w:rsid w:val="00B20AE1"/>
    <w:rsid w:val="00B217DC"/>
    <w:rsid w:val="00B236C9"/>
    <w:rsid w:val="00B23BEF"/>
    <w:rsid w:val="00B266CC"/>
    <w:rsid w:val="00B271A1"/>
    <w:rsid w:val="00B31D52"/>
    <w:rsid w:val="00B34122"/>
    <w:rsid w:val="00B36C92"/>
    <w:rsid w:val="00B41853"/>
    <w:rsid w:val="00B41B24"/>
    <w:rsid w:val="00B430CF"/>
    <w:rsid w:val="00B46EE0"/>
    <w:rsid w:val="00B50342"/>
    <w:rsid w:val="00B53999"/>
    <w:rsid w:val="00B54909"/>
    <w:rsid w:val="00B54FC5"/>
    <w:rsid w:val="00B56EB1"/>
    <w:rsid w:val="00B5788C"/>
    <w:rsid w:val="00B60CF5"/>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83CE1"/>
    <w:rsid w:val="00B90A90"/>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D0E41"/>
    <w:rsid w:val="00BD3454"/>
    <w:rsid w:val="00BD34FC"/>
    <w:rsid w:val="00BD3B5D"/>
    <w:rsid w:val="00BD54CE"/>
    <w:rsid w:val="00BD64F4"/>
    <w:rsid w:val="00BD757B"/>
    <w:rsid w:val="00BD781C"/>
    <w:rsid w:val="00BE0596"/>
    <w:rsid w:val="00BE0F09"/>
    <w:rsid w:val="00BE389F"/>
    <w:rsid w:val="00BE4823"/>
    <w:rsid w:val="00BE50CA"/>
    <w:rsid w:val="00BE5D09"/>
    <w:rsid w:val="00BF0B89"/>
    <w:rsid w:val="00BF2D1A"/>
    <w:rsid w:val="00BF2DFC"/>
    <w:rsid w:val="00BF37B2"/>
    <w:rsid w:val="00BF4A3E"/>
    <w:rsid w:val="00BF53F1"/>
    <w:rsid w:val="00C00F95"/>
    <w:rsid w:val="00C02EA7"/>
    <w:rsid w:val="00C0401A"/>
    <w:rsid w:val="00C0585A"/>
    <w:rsid w:val="00C05A9C"/>
    <w:rsid w:val="00C05B54"/>
    <w:rsid w:val="00C05E97"/>
    <w:rsid w:val="00C06B80"/>
    <w:rsid w:val="00C0707A"/>
    <w:rsid w:val="00C115F9"/>
    <w:rsid w:val="00C11FA0"/>
    <w:rsid w:val="00C1582F"/>
    <w:rsid w:val="00C20044"/>
    <w:rsid w:val="00C207E5"/>
    <w:rsid w:val="00C25714"/>
    <w:rsid w:val="00C25B87"/>
    <w:rsid w:val="00C26029"/>
    <w:rsid w:val="00C40BB8"/>
    <w:rsid w:val="00C45272"/>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9CF"/>
    <w:rsid w:val="00C87135"/>
    <w:rsid w:val="00C900D6"/>
    <w:rsid w:val="00C91BB6"/>
    <w:rsid w:val="00C91FAB"/>
    <w:rsid w:val="00C91FB3"/>
    <w:rsid w:val="00C92493"/>
    <w:rsid w:val="00C93DC9"/>
    <w:rsid w:val="00C95CFB"/>
    <w:rsid w:val="00C96F14"/>
    <w:rsid w:val="00CA0457"/>
    <w:rsid w:val="00CA1191"/>
    <w:rsid w:val="00CA3260"/>
    <w:rsid w:val="00CA4DA7"/>
    <w:rsid w:val="00CA4F91"/>
    <w:rsid w:val="00CA5281"/>
    <w:rsid w:val="00CA560C"/>
    <w:rsid w:val="00CB0E54"/>
    <w:rsid w:val="00CB6536"/>
    <w:rsid w:val="00CB6728"/>
    <w:rsid w:val="00CB72C0"/>
    <w:rsid w:val="00CC0203"/>
    <w:rsid w:val="00CC0665"/>
    <w:rsid w:val="00CC12C5"/>
    <w:rsid w:val="00CC1F1C"/>
    <w:rsid w:val="00CC1FC3"/>
    <w:rsid w:val="00CC214B"/>
    <w:rsid w:val="00CC2FAF"/>
    <w:rsid w:val="00CC35B6"/>
    <w:rsid w:val="00CC51FF"/>
    <w:rsid w:val="00CC6055"/>
    <w:rsid w:val="00CC6C4B"/>
    <w:rsid w:val="00CD05C2"/>
    <w:rsid w:val="00CD08DA"/>
    <w:rsid w:val="00CD22BB"/>
    <w:rsid w:val="00CD25E3"/>
    <w:rsid w:val="00CD6583"/>
    <w:rsid w:val="00CD7C41"/>
    <w:rsid w:val="00CE1CDF"/>
    <w:rsid w:val="00CE25DA"/>
    <w:rsid w:val="00CE2F9C"/>
    <w:rsid w:val="00CE3145"/>
    <w:rsid w:val="00CE33FF"/>
    <w:rsid w:val="00CE6589"/>
    <w:rsid w:val="00CF0B19"/>
    <w:rsid w:val="00CF7A7E"/>
    <w:rsid w:val="00D01117"/>
    <w:rsid w:val="00D02591"/>
    <w:rsid w:val="00D03B88"/>
    <w:rsid w:val="00D04B7C"/>
    <w:rsid w:val="00D04C34"/>
    <w:rsid w:val="00D06E6A"/>
    <w:rsid w:val="00D14763"/>
    <w:rsid w:val="00D162BC"/>
    <w:rsid w:val="00D171F4"/>
    <w:rsid w:val="00D20F17"/>
    <w:rsid w:val="00D214FE"/>
    <w:rsid w:val="00D238DF"/>
    <w:rsid w:val="00D245D1"/>
    <w:rsid w:val="00D308C6"/>
    <w:rsid w:val="00D32D82"/>
    <w:rsid w:val="00D35320"/>
    <w:rsid w:val="00D40000"/>
    <w:rsid w:val="00D40F72"/>
    <w:rsid w:val="00D4137B"/>
    <w:rsid w:val="00D42EE6"/>
    <w:rsid w:val="00D45622"/>
    <w:rsid w:val="00D466FE"/>
    <w:rsid w:val="00D5391E"/>
    <w:rsid w:val="00D57ECF"/>
    <w:rsid w:val="00D611EF"/>
    <w:rsid w:val="00D62352"/>
    <w:rsid w:val="00D635CF"/>
    <w:rsid w:val="00D64020"/>
    <w:rsid w:val="00D65F0C"/>
    <w:rsid w:val="00D662A4"/>
    <w:rsid w:val="00D669E2"/>
    <w:rsid w:val="00D676BD"/>
    <w:rsid w:val="00D7025B"/>
    <w:rsid w:val="00D70A2D"/>
    <w:rsid w:val="00D74D17"/>
    <w:rsid w:val="00D76177"/>
    <w:rsid w:val="00D76DE0"/>
    <w:rsid w:val="00D77165"/>
    <w:rsid w:val="00D778CB"/>
    <w:rsid w:val="00D82178"/>
    <w:rsid w:val="00D824AF"/>
    <w:rsid w:val="00D843C6"/>
    <w:rsid w:val="00D87447"/>
    <w:rsid w:val="00D90B0F"/>
    <w:rsid w:val="00D92B50"/>
    <w:rsid w:val="00D92BFF"/>
    <w:rsid w:val="00D93E8A"/>
    <w:rsid w:val="00D96060"/>
    <w:rsid w:val="00D970E4"/>
    <w:rsid w:val="00DA1140"/>
    <w:rsid w:val="00DA2D3F"/>
    <w:rsid w:val="00DA2DAB"/>
    <w:rsid w:val="00DA404B"/>
    <w:rsid w:val="00DA513A"/>
    <w:rsid w:val="00DB023D"/>
    <w:rsid w:val="00DB04EA"/>
    <w:rsid w:val="00DB421D"/>
    <w:rsid w:val="00DB44AD"/>
    <w:rsid w:val="00DB4E5A"/>
    <w:rsid w:val="00DB5785"/>
    <w:rsid w:val="00DB58E9"/>
    <w:rsid w:val="00DB5B49"/>
    <w:rsid w:val="00DB6F07"/>
    <w:rsid w:val="00DC13BD"/>
    <w:rsid w:val="00DC255E"/>
    <w:rsid w:val="00DC333F"/>
    <w:rsid w:val="00DC567C"/>
    <w:rsid w:val="00DC58CC"/>
    <w:rsid w:val="00DC763A"/>
    <w:rsid w:val="00DD39FD"/>
    <w:rsid w:val="00DD610B"/>
    <w:rsid w:val="00DD6735"/>
    <w:rsid w:val="00DD6990"/>
    <w:rsid w:val="00DD6E27"/>
    <w:rsid w:val="00DE1248"/>
    <w:rsid w:val="00DE7967"/>
    <w:rsid w:val="00DF5E22"/>
    <w:rsid w:val="00E002C6"/>
    <w:rsid w:val="00E00E95"/>
    <w:rsid w:val="00E010A7"/>
    <w:rsid w:val="00E01C3A"/>
    <w:rsid w:val="00E0426F"/>
    <w:rsid w:val="00E045F3"/>
    <w:rsid w:val="00E04A5D"/>
    <w:rsid w:val="00E07478"/>
    <w:rsid w:val="00E0771C"/>
    <w:rsid w:val="00E10036"/>
    <w:rsid w:val="00E14DF7"/>
    <w:rsid w:val="00E16392"/>
    <w:rsid w:val="00E16696"/>
    <w:rsid w:val="00E16B6D"/>
    <w:rsid w:val="00E26997"/>
    <w:rsid w:val="00E30BAD"/>
    <w:rsid w:val="00E30D70"/>
    <w:rsid w:val="00E310A8"/>
    <w:rsid w:val="00E31B70"/>
    <w:rsid w:val="00E31EB2"/>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53FF"/>
    <w:rsid w:val="00E7548E"/>
    <w:rsid w:val="00E759D5"/>
    <w:rsid w:val="00E76B0C"/>
    <w:rsid w:val="00E76EF3"/>
    <w:rsid w:val="00E83BDF"/>
    <w:rsid w:val="00E84791"/>
    <w:rsid w:val="00E876EF"/>
    <w:rsid w:val="00E9376A"/>
    <w:rsid w:val="00E9595A"/>
    <w:rsid w:val="00E9712C"/>
    <w:rsid w:val="00EA3003"/>
    <w:rsid w:val="00EA3B88"/>
    <w:rsid w:val="00EA648B"/>
    <w:rsid w:val="00EA7896"/>
    <w:rsid w:val="00EA7C74"/>
    <w:rsid w:val="00EB1336"/>
    <w:rsid w:val="00EB4C81"/>
    <w:rsid w:val="00EB7CA8"/>
    <w:rsid w:val="00EC2695"/>
    <w:rsid w:val="00EC3CE0"/>
    <w:rsid w:val="00EC4DB6"/>
    <w:rsid w:val="00EC5989"/>
    <w:rsid w:val="00EC5C1B"/>
    <w:rsid w:val="00ED39C9"/>
    <w:rsid w:val="00ED51A3"/>
    <w:rsid w:val="00ED51C9"/>
    <w:rsid w:val="00ED5304"/>
    <w:rsid w:val="00EE004B"/>
    <w:rsid w:val="00EE1B68"/>
    <w:rsid w:val="00EE4B6A"/>
    <w:rsid w:val="00EE5E78"/>
    <w:rsid w:val="00EE7236"/>
    <w:rsid w:val="00EF6562"/>
    <w:rsid w:val="00F00127"/>
    <w:rsid w:val="00F03A9D"/>
    <w:rsid w:val="00F06C1A"/>
    <w:rsid w:val="00F075FC"/>
    <w:rsid w:val="00F12CA4"/>
    <w:rsid w:val="00F149A8"/>
    <w:rsid w:val="00F14C42"/>
    <w:rsid w:val="00F14D1D"/>
    <w:rsid w:val="00F17147"/>
    <w:rsid w:val="00F17FCF"/>
    <w:rsid w:val="00F22F99"/>
    <w:rsid w:val="00F25E8E"/>
    <w:rsid w:val="00F26271"/>
    <w:rsid w:val="00F30B2B"/>
    <w:rsid w:val="00F31DE4"/>
    <w:rsid w:val="00F355EC"/>
    <w:rsid w:val="00F35E5D"/>
    <w:rsid w:val="00F377D0"/>
    <w:rsid w:val="00F37B52"/>
    <w:rsid w:val="00F4090E"/>
    <w:rsid w:val="00F40D46"/>
    <w:rsid w:val="00F41818"/>
    <w:rsid w:val="00F43F68"/>
    <w:rsid w:val="00F44560"/>
    <w:rsid w:val="00F4515A"/>
    <w:rsid w:val="00F45509"/>
    <w:rsid w:val="00F45E2D"/>
    <w:rsid w:val="00F567A5"/>
    <w:rsid w:val="00F57268"/>
    <w:rsid w:val="00F6203E"/>
    <w:rsid w:val="00F65EC6"/>
    <w:rsid w:val="00F6726B"/>
    <w:rsid w:val="00F718EA"/>
    <w:rsid w:val="00F74924"/>
    <w:rsid w:val="00F8080A"/>
    <w:rsid w:val="00F82468"/>
    <w:rsid w:val="00F826EF"/>
    <w:rsid w:val="00F83629"/>
    <w:rsid w:val="00F847F5"/>
    <w:rsid w:val="00F84E28"/>
    <w:rsid w:val="00F865AA"/>
    <w:rsid w:val="00F87493"/>
    <w:rsid w:val="00F9031C"/>
    <w:rsid w:val="00F9118D"/>
    <w:rsid w:val="00F95E2B"/>
    <w:rsid w:val="00F968E1"/>
    <w:rsid w:val="00FA0A51"/>
    <w:rsid w:val="00FA2001"/>
    <w:rsid w:val="00FA6E58"/>
    <w:rsid w:val="00FB0CDD"/>
    <w:rsid w:val="00FB0D81"/>
    <w:rsid w:val="00FB3088"/>
    <w:rsid w:val="00FB5A37"/>
    <w:rsid w:val="00FB7A34"/>
    <w:rsid w:val="00FC1C45"/>
    <w:rsid w:val="00FC3E3A"/>
    <w:rsid w:val="00FC465A"/>
    <w:rsid w:val="00FC4F41"/>
    <w:rsid w:val="00FC562B"/>
    <w:rsid w:val="00FC5B51"/>
    <w:rsid w:val="00FC7F93"/>
    <w:rsid w:val="00FD1BB6"/>
    <w:rsid w:val="00FD651B"/>
    <w:rsid w:val="00FD6583"/>
    <w:rsid w:val="00FD7A84"/>
    <w:rsid w:val="00FE071D"/>
    <w:rsid w:val="00FE0871"/>
    <w:rsid w:val="00FE0A3A"/>
    <w:rsid w:val="00FE143F"/>
    <w:rsid w:val="00FE4920"/>
    <w:rsid w:val="00FE5C88"/>
    <w:rsid w:val="00FE6D58"/>
    <w:rsid w:val="00FE6F4F"/>
    <w:rsid w:val="00FE7389"/>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uiPriority w:val="99"/>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s>
</file>

<file path=word/webSettings.xml><?xml version="1.0" encoding="utf-8"?>
<w:webSettings xmlns:r="http://schemas.openxmlformats.org/officeDocument/2006/relationships" xmlns:w="http://schemas.openxmlformats.org/wordprocessingml/2006/main">
  <w:divs>
    <w:div w:id="350886827">
      <w:marLeft w:val="0"/>
      <w:marRight w:val="0"/>
      <w:marTop w:val="0"/>
      <w:marBottom w:val="0"/>
      <w:divBdr>
        <w:top w:val="none" w:sz="0" w:space="0" w:color="auto"/>
        <w:left w:val="none" w:sz="0" w:space="0" w:color="auto"/>
        <w:bottom w:val="none" w:sz="0" w:space="0" w:color="auto"/>
        <w:right w:val="none" w:sz="0" w:space="0" w:color="auto"/>
      </w:divBdr>
    </w:div>
    <w:div w:id="350886828">
      <w:marLeft w:val="0"/>
      <w:marRight w:val="0"/>
      <w:marTop w:val="0"/>
      <w:marBottom w:val="0"/>
      <w:divBdr>
        <w:top w:val="none" w:sz="0" w:space="0" w:color="auto"/>
        <w:left w:val="none" w:sz="0" w:space="0" w:color="auto"/>
        <w:bottom w:val="none" w:sz="0" w:space="0" w:color="auto"/>
        <w:right w:val="none" w:sz="0" w:space="0" w:color="auto"/>
      </w:divBdr>
    </w:div>
    <w:div w:id="350886829">
      <w:marLeft w:val="0"/>
      <w:marRight w:val="0"/>
      <w:marTop w:val="0"/>
      <w:marBottom w:val="0"/>
      <w:divBdr>
        <w:top w:val="none" w:sz="0" w:space="0" w:color="auto"/>
        <w:left w:val="none" w:sz="0" w:space="0" w:color="auto"/>
        <w:bottom w:val="none" w:sz="0" w:space="0" w:color="auto"/>
        <w:right w:val="none" w:sz="0" w:space="0" w:color="auto"/>
      </w:divBdr>
    </w:div>
    <w:div w:id="350886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1646</Words>
  <Characters>9388</Characters>
  <Application>Microsoft Office Outlook</Application>
  <DocSecurity>0</DocSecurity>
  <Lines>0</Lines>
  <Paragraphs>0</Paragraphs>
  <ScaleCrop>false</ScaleCrop>
  <Company>Ornasteel Enterprise Corporation (M) Sdn.Bhd.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2</cp:revision>
  <cp:lastPrinted>2011-02-17T09:06:00Z</cp:lastPrinted>
  <dcterms:created xsi:type="dcterms:W3CDTF">2011-02-17T09:06:00Z</dcterms:created>
  <dcterms:modified xsi:type="dcterms:W3CDTF">2011-02-17T09:06:00Z</dcterms:modified>
</cp:coreProperties>
</file>