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8C2F68" w:rsidRDefault="00541004" w:rsidP="006A08B0">
      <w:pPr>
        <w:pStyle w:val="Heading1"/>
        <w:jc w:val="both"/>
        <w:rPr>
          <w:sz w:val="22"/>
          <w:szCs w:val="22"/>
        </w:rPr>
      </w:pPr>
      <w:r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Pr="008C2F68">
        <w:rPr>
          <w:sz w:val="22"/>
          <w:szCs w:val="22"/>
        </w:rPr>
        <w:tab/>
      </w:r>
      <w:r w:rsidRPr="008C2F68">
        <w:rPr>
          <w:sz w:val="22"/>
          <w:szCs w:val="22"/>
        </w:rPr>
        <w:tab/>
      </w:r>
      <w:r w:rsidRPr="008C2F68">
        <w:rPr>
          <w:sz w:val="22"/>
          <w:szCs w:val="22"/>
        </w:rPr>
        <w:tab/>
      </w:r>
      <w:r w:rsidRPr="008C2F68">
        <w:rPr>
          <w:sz w:val="22"/>
          <w:szCs w:val="22"/>
        </w:rPr>
        <w:tab/>
      </w:r>
      <w:r w:rsidRPr="008C2F68">
        <w:rPr>
          <w:sz w:val="22"/>
          <w:szCs w:val="22"/>
        </w:rPr>
        <w:tab/>
      </w:r>
      <w:r w:rsidRPr="008C2F68">
        <w:rPr>
          <w:sz w:val="22"/>
          <w:szCs w:val="22"/>
        </w:rPr>
        <w:tab/>
      </w:r>
      <w:r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6A7AF9" w:rsidRPr="008C2F68">
        <w:rPr>
          <w:sz w:val="22"/>
          <w:szCs w:val="22"/>
        </w:rPr>
        <w:t>3RD</w:t>
      </w:r>
      <w:r w:rsidR="006733C2" w:rsidRPr="008C2F68">
        <w:rPr>
          <w:sz w:val="22"/>
          <w:szCs w:val="22"/>
        </w:rPr>
        <w:t xml:space="preserve"> </w:t>
      </w:r>
      <w:r w:rsidRPr="008C2F68">
        <w:rPr>
          <w:sz w:val="22"/>
          <w:szCs w:val="22"/>
        </w:rPr>
        <w:t xml:space="preserve">QUARTER ENDED </w:t>
      </w:r>
      <w:r w:rsidR="006956E6" w:rsidRPr="008C2F68">
        <w:rPr>
          <w:sz w:val="22"/>
          <w:szCs w:val="22"/>
          <w:lang w:eastAsia="zh-CN"/>
        </w:rPr>
        <w:t>3</w:t>
      </w:r>
      <w:r w:rsidR="00EA2834" w:rsidRPr="008C2F68">
        <w:rPr>
          <w:sz w:val="22"/>
          <w:szCs w:val="22"/>
          <w:lang w:eastAsia="zh-CN"/>
        </w:rPr>
        <w:t>0</w:t>
      </w:r>
      <w:r w:rsidR="006956E6" w:rsidRPr="008C2F68">
        <w:rPr>
          <w:sz w:val="22"/>
          <w:szCs w:val="22"/>
          <w:lang w:eastAsia="zh-CN"/>
        </w:rPr>
        <w:t xml:space="preserve"> </w:t>
      </w:r>
      <w:r w:rsidR="006A7AF9" w:rsidRPr="008C2F68">
        <w:rPr>
          <w:sz w:val="22"/>
          <w:szCs w:val="22"/>
          <w:lang w:eastAsia="zh-CN"/>
        </w:rPr>
        <w:t>SEPTEMBER</w:t>
      </w:r>
      <w:r w:rsidR="00ED10C5" w:rsidRPr="008C2F68">
        <w:rPr>
          <w:rFonts w:hint="eastAsia"/>
          <w:sz w:val="22"/>
          <w:szCs w:val="22"/>
          <w:lang w:eastAsia="zh-CN"/>
        </w:rPr>
        <w:t xml:space="preserve"> 2013</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0"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C52906" w:rsidRPr="008C2F68">
        <w:rPr>
          <w:lang w:eastAsia="zh-CN"/>
        </w:rPr>
        <w:t>Rule</w:t>
      </w:r>
      <w:r w:rsidR="00C52906" w:rsidRPr="008C2F68">
        <w:rPr>
          <w:rFonts w:hint="eastAsia"/>
          <w:lang w:eastAsia="zh-CN"/>
        </w:rPr>
        <w:t xml:space="preserve"> </w:t>
      </w:r>
      <w:r w:rsidRPr="008C2F68">
        <w:rPr>
          <w:rFonts w:hint="eastAsia"/>
          <w:lang w:eastAsia="zh-CN"/>
        </w:rPr>
        <w:t xml:space="preserve">9.22 of the </w:t>
      </w:r>
      <w:r w:rsidR="00C52906" w:rsidRPr="008C2F68">
        <w:rPr>
          <w:lang w:eastAsia="zh-CN"/>
        </w:rPr>
        <w:t xml:space="preserve">ACE Market </w:t>
      </w:r>
      <w:r w:rsidRPr="008C2F68">
        <w:rPr>
          <w:rFonts w:hint="eastAsia"/>
          <w:lang w:eastAsia="zh-CN"/>
        </w:rPr>
        <w:t xml:space="preserve">Listing Requirements of Bursa Malaysia Securities </w:t>
      </w:r>
      <w:proofErr w:type="spellStart"/>
      <w:r w:rsidRPr="008C2F68">
        <w:rPr>
          <w:rFonts w:hint="eastAsia"/>
          <w:lang w:eastAsia="zh-CN"/>
        </w:rPr>
        <w:t>Berhad</w:t>
      </w:r>
      <w:proofErr w:type="spellEnd"/>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FC05DA" w:rsidRPr="008C2F68">
        <w:rPr>
          <w:lang w:eastAsia="zh-CN"/>
        </w:rPr>
        <w:t>2</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1"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FC05DA" w:rsidRPr="008C2F68">
        <w:rPr>
          <w:szCs w:val="22"/>
          <w:lang w:eastAsia="zh-CN"/>
        </w:rPr>
        <w:t>2</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MFRS and IC Interpretation</w:t>
      </w:r>
      <w:r w:rsidR="00CE4A44" w:rsidRPr="008C2F68">
        <w:rPr>
          <w:rFonts w:hint="eastAsia"/>
          <w:szCs w:val="22"/>
          <w:lang w:eastAsia="zh-CN"/>
        </w:rPr>
        <w:t>s</w:t>
      </w:r>
      <w:r w:rsidR="000D1FAC" w:rsidRPr="008C2F68">
        <w:rPr>
          <w:rFonts w:hint="eastAsia"/>
          <w:szCs w:val="22"/>
          <w:lang w:eastAsia="zh-CN"/>
        </w:rPr>
        <w:t xml:space="preserve"> (</w:t>
      </w:r>
      <w:r w:rsidR="000D1FAC" w:rsidRPr="008C2F68">
        <w:rPr>
          <w:szCs w:val="22"/>
          <w:lang w:eastAsia="zh-CN"/>
        </w:rPr>
        <w:t>“</w:t>
      </w:r>
      <w:r w:rsidR="000D1FAC" w:rsidRPr="008C2F68">
        <w:rPr>
          <w:rFonts w:hint="eastAsia"/>
          <w:szCs w:val="22"/>
          <w:lang w:eastAsia="zh-CN"/>
        </w:rPr>
        <w:t>IC Int.</w:t>
      </w:r>
      <w:r w:rsidR="000D1FAC" w:rsidRPr="008C2F68">
        <w:rPr>
          <w:szCs w:val="22"/>
          <w:lang w:eastAsia="zh-CN"/>
        </w:rPr>
        <w:t>”</w:t>
      </w:r>
      <w:r w:rsidR="000D1FAC" w:rsidRPr="008C2F68">
        <w:rPr>
          <w:rFonts w:hint="eastAsia"/>
          <w:szCs w:val="22"/>
          <w:lang w:eastAsia="zh-CN"/>
        </w:rPr>
        <w:t xml:space="preserve">) to be applied by all Entities Other </w:t>
      </w:r>
      <w:r w:rsidR="003E452B" w:rsidRPr="008C2F68">
        <w:rPr>
          <w:rFonts w:hint="eastAsia"/>
          <w:szCs w:val="22"/>
          <w:lang w:eastAsia="zh-CN"/>
        </w:rPr>
        <w:t>Than Private Entities for the financial period beginning on 1 January 201</w:t>
      </w:r>
      <w:r w:rsidR="00401014" w:rsidRPr="008C2F68">
        <w:rPr>
          <w:rFonts w:hint="eastAsia"/>
          <w:szCs w:val="22"/>
          <w:lang w:eastAsia="zh-CN"/>
        </w:rPr>
        <w:t>3</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378"/>
      </w:tblGrid>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rFonts w:hint="eastAsia"/>
                <w:szCs w:val="22"/>
                <w:lang w:eastAsia="zh-CN"/>
              </w:rPr>
              <w:t>Amendments to MFRS 101</w:t>
            </w:r>
          </w:p>
        </w:tc>
        <w:tc>
          <w:tcPr>
            <w:tcW w:w="6378" w:type="dxa"/>
            <w:shd w:val="clear" w:color="auto" w:fill="auto"/>
          </w:tcPr>
          <w:p w:rsidR="00332C56" w:rsidRPr="008C2F68" w:rsidRDefault="00332C56" w:rsidP="00712018">
            <w:pPr>
              <w:pStyle w:val="BodyText"/>
              <w:rPr>
                <w:szCs w:val="22"/>
                <w:lang w:eastAsia="zh-CN"/>
              </w:rPr>
            </w:pPr>
            <w:r w:rsidRPr="008C2F68">
              <w:rPr>
                <w:rFonts w:hint="eastAsia"/>
                <w:szCs w:val="22"/>
                <w:lang w:eastAsia="zh-CN"/>
              </w:rPr>
              <w:t>Presentation of Items of Other Comprehensive Income</w:t>
            </w:r>
          </w:p>
        </w:tc>
      </w:tr>
      <w:tr w:rsidR="001249A4" w:rsidRPr="008C2F68" w:rsidTr="001249A4">
        <w:tc>
          <w:tcPr>
            <w:tcW w:w="3216" w:type="dxa"/>
            <w:shd w:val="clear" w:color="auto" w:fill="auto"/>
          </w:tcPr>
          <w:p w:rsidR="001249A4" w:rsidRPr="008C2F68" w:rsidRDefault="001249A4" w:rsidP="00712018">
            <w:pPr>
              <w:pStyle w:val="BodyText"/>
              <w:rPr>
                <w:szCs w:val="22"/>
                <w:lang w:eastAsia="zh-CN"/>
              </w:rPr>
            </w:pPr>
            <w:r w:rsidRPr="008C2F68">
              <w:rPr>
                <w:szCs w:val="22"/>
                <w:lang w:eastAsia="zh-CN"/>
              </w:rPr>
              <w:t>MFRS 3</w:t>
            </w:r>
          </w:p>
        </w:tc>
        <w:tc>
          <w:tcPr>
            <w:tcW w:w="6378" w:type="dxa"/>
            <w:shd w:val="clear" w:color="auto" w:fill="auto"/>
          </w:tcPr>
          <w:p w:rsidR="001249A4" w:rsidRPr="008C2F68" w:rsidRDefault="001249A4" w:rsidP="00712018">
            <w:pPr>
              <w:pStyle w:val="BodyText"/>
              <w:rPr>
                <w:szCs w:val="22"/>
                <w:lang w:eastAsia="zh-CN"/>
              </w:rPr>
            </w:pPr>
            <w:r w:rsidRPr="008C2F68">
              <w:rPr>
                <w:szCs w:val="22"/>
                <w:lang w:eastAsia="zh-CN"/>
              </w:rPr>
              <w:t>Business Combinations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10</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Consolidated Financial Statements</w:t>
            </w:r>
          </w:p>
        </w:tc>
      </w:tr>
      <w:tr w:rsidR="00332C56" w:rsidRPr="008C2F68" w:rsidTr="001249A4">
        <w:trPr>
          <w:trHeight w:val="302"/>
        </w:trPr>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11</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Joint Arrangements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12</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Disclosure of Interests in Other Entities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13</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Fair Value Measurement</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119</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Employee Benefits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127</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Separate Financial Statements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MFRS 128</w:t>
            </w:r>
          </w:p>
        </w:tc>
        <w:tc>
          <w:tcPr>
            <w:tcW w:w="6378" w:type="dxa"/>
            <w:shd w:val="clear" w:color="auto" w:fill="auto"/>
          </w:tcPr>
          <w:p w:rsidR="00332C56" w:rsidRPr="008C2F68" w:rsidRDefault="00332C56" w:rsidP="00712018">
            <w:pPr>
              <w:pStyle w:val="BodyText"/>
              <w:rPr>
                <w:szCs w:val="22"/>
                <w:lang w:eastAsia="zh-CN"/>
              </w:rPr>
            </w:pPr>
            <w:r w:rsidRPr="008C2F68">
              <w:rPr>
                <w:szCs w:val="22"/>
                <w:lang w:eastAsia="zh-CN"/>
              </w:rPr>
              <w:t>Investments in Associates and Joint</w:t>
            </w:r>
            <w:r w:rsidRPr="008C2F68">
              <w:rPr>
                <w:rFonts w:hint="eastAsia"/>
                <w:szCs w:val="22"/>
                <w:lang w:eastAsia="zh-CN"/>
              </w:rPr>
              <w:t xml:space="preserve"> Ventures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Amendments to MFRS 7</w:t>
            </w:r>
          </w:p>
        </w:tc>
        <w:tc>
          <w:tcPr>
            <w:tcW w:w="6378" w:type="dxa"/>
            <w:shd w:val="clear" w:color="auto" w:fill="auto"/>
          </w:tcPr>
          <w:p w:rsidR="00332C56" w:rsidRPr="008C2F68" w:rsidRDefault="00332C56" w:rsidP="00712018">
            <w:pPr>
              <w:tabs>
                <w:tab w:val="clear" w:pos="720"/>
                <w:tab w:val="clear" w:pos="1440"/>
              </w:tabs>
              <w:autoSpaceDE w:val="0"/>
              <w:autoSpaceDN w:val="0"/>
              <w:adjustRightInd w:val="0"/>
              <w:rPr>
                <w:szCs w:val="22"/>
                <w:lang w:eastAsia="zh-CN"/>
              </w:rPr>
            </w:pPr>
            <w:r w:rsidRPr="008C2F68">
              <w:rPr>
                <w:szCs w:val="22"/>
                <w:lang w:eastAsia="zh-CN"/>
              </w:rPr>
              <w:t>Disclosures – Offsetting Financial</w:t>
            </w:r>
            <w:r w:rsidRPr="008C2F68">
              <w:rPr>
                <w:rFonts w:hint="eastAsia"/>
                <w:szCs w:val="22"/>
                <w:lang w:eastAsia="zh-CN"/>
              </w:rPr>
              <w:t xml:space="preserve"> </w:t>
            </w:r>
            <w:r w:rsidRPr="008C2F68">
              <w:rPr>
                <w:szCs w:val="22"/>
                <w:lang w:eastAsia="zh-CN"/>
              </w:rPr>
              <w:t>Assets and Financial Liabilities</w:t>
            </w:r>
          </w:p>
        </w:tc>
      </w:tr>
      <w:tr w:rsidR="00332C56" w:rsidRPr="008C2F68" w:rsidTr="001249A4">
        <w:tc>
          <w:tcPr>
            <w:tcW w:w="3216" w:type="dxa"/>
            <w:shd w:val="clear" w:color="auto" w:fill="auto"/>
          </w:tcPr>
          <w:p w:rsidR="00332C56" w:rsidRPr="008C2F68" w:rsidRDefault="00332C56" w:rsidP="00712018">
            <w:pPr>
              <w:pStyle w:val="BodyText"/>
              <w:rPr>
                <w:szCs w:val="22"/>
                <w:lang w:eastAsia="zh-CN"/>
              </w:rPr>
            </w:pPr>
            <w:r w:rsidRPr="008C2F68">
              <w:rPr>
                <w:szCs w:val="22"/>
                <w:lang w:eastAsia="zh-CN"/>
              </w:rPr>
              <w:t xml:space="preserve">Amendments to MFRS </w:t>
            </w:r>
            <w:r w:rsidRPr="008C2F68">
              <w:rPr>
                <w:rFonts w:hint="eastAsia"/>
                <w:szCs w:val="22"/>
                <w:lang w:eastAsia="zh-CN"/>
              </w:rPr>
              <w:t>10, MFRS 11 and MFRS 12)</w:t>
            </w:r>
          </w:p>
        </w:tc>
        <w:tc>
          <w:tcPr>
            <w:tcW w:w="6378" w:type="dxa"/>
            <w:shd w:val="clear" w:color="auto" w:fill="auto"/>
          </w:tcPr>
          <w:p w:rsidR="00332C56" w:rsidRPr="008C2F68" w:rsidRDefault="00332C56" w:rsidP="00712018">
            <w:pPr>
              <w:tabs>
                <w:tab w:val="clear" w:pos="720"/>
                <w:tab w:val="clear" w:pos="1440"/>
              </w:tabs>
              <w:autoSpaceDE w:val="0"/>
              <w:autoSpaceDN w:val="0"/>
              <w:adjustRightInd w:val="0"/>
              <w:rPr>
                <w:szCs w:val="22"/>
                <w:lang w:eastAsia="zh-CN"/>
              </w:rPr>
            </w:pPr>
            <w:r w:rsidRPr="008C2F68">
              <w:rPr>
                <w:rFonts w:hint="eastAsia"/>
                <w:szCs w:val="22"/>
                <w:lang w:eastAsia="zh-CN"/>
              </w:rPr>
              <w:t>Consolidated Financial Statements, Joint Arrangements and Disclosure of Interests in Other Entities: Transition Guidance</w:t>
            </w:r>
          </w:p>
        </w:tc>
      </w:tr>
      <w:tr w:rsidR="00332C56" w:rsidRPr="008C2F68" w:rsidTr="001249A4">
        <w:tc>
          <w:tcPr>
            <w:tcW w:w="9594" w:type="dxa"/>
            <w:gridSpan w:val="2"/>
            <w:shd w:val="clear" w:color="auto" w:fill="auto"/>
          </w:tcPr>
          <w:p w:rsidR="00332C56" w:rsidRPr="008C2F68" w:rsidRDefault="00332C56" w:rsidP="00712018">
            <w:pPr>
              <w:tabs>
                <w:tab w:val="clear" w:pos="720"/>
                <w:tab w:val="clear" w:pos="1440"/>
              </w:tabs>
              <w:autoSpaceDE w:val="0"/>
              <w:autoSpaceDN w:val="0"/>
              <w:adjustRightInd w:val="0"/>
              <w:rPr>
                <w:szCs w:val="22"/>
                <w:lang w:eastAsia="zh-CN"/>
              </w:rPr>
            </w:pPr>
            <w:r w:rsidRPr="008C2F68">
              <w:rPr>
                <w:rFonts w:hint="eastAsia"/>
                <w:szCs w:val="22"/>
                <w:lang w:eastAsia="zh-CN"/>
              </w:rPr>
              <w:t>Annual Improvements 2009-2011 cycle issued in July 2012</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Pr="008C2F68" w:rsidRDefault="002D5D2B" w:rsidP="00CD3AAC">
      <w:pPr>
        <w:tabs>
          <w:tab w:val="clear" w:pos="720"/>
          <w:tab w:val="clear" w:pos="1440"/>
        </w:tabs>
        <w:autoSpaceDE w:val="0"/>
        <w:autoSpaceDN w:val="0"/>
        <w:adjustRightInd w:val="0"/>
        <w:ind w:left="720"/>
        <w:jc w:val="both"/>
        <w:rPr>
          <w:b/>
          <w:bCs/>
          <w:szCs w:val="22"/>
          <w:lang w:eastAsia="zh-CN"/>
        </w:rPr>
      </w:pPr>
      <w:r w:rsidRPr="008C2F68">
        <w:rPr>
          <w:szCs w:val="22"/>
          <w:lang w:eastAsia="zh-CN"/>
        </w:rPr>
        <w:t xml:space="preserve">The adoption of the abovementioned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Amendments to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and Interpretations will have no material impact on the financial statements of the Group upon their initial application</w:t>
      </w:r>
      <w:r w:rsidR="003B26C8" w:rsidRPr="008C2F68">
        <w:rPr>
          <w:szCs w:val="22"/>
          <w:lang w:eastAsia="zh-CN"/>
        </w:rPr>
        <w:t>.</w:t>
      </w:r>
    </w:p>
    <w:p w:rsidR="002D5D2B" w:rsidRPr="008C2F68" w:rsidRDefault="002D5D2B" w:rsidP="00D561BD">
      <w:pPr>
        <w:tabs>
          <w:tab w:val="clear" w:pos="720"/>
          <w:tab w:val="clear" w:pos="1440"/>
        </w:tabs>
        <w:autoSpaceDE w:val="0"/>
        <w:autoSpaceDN w:val="0"/>
        <w:adjustRightInd w:val="0"/>
        <w:rPr>
          <w:b/>
          <w:bCs/>
          <w:szCs w:val="22"/>
          <w:lang w:eastAsia="zh-CN"/>
        </w:rPr>
      </w:pPr>
    </w:p>
    <w:p w:rsidR="0053559F" w:rsidRPr="008C2F68" w:rsidRDefault="0053559F" w:rsidP="00F44CA4">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At the date of </w:t>
      </w:r>
      <w:proofErr w:type="spellStart"/>
      <w:r w:rsidRPr="008C2F68">
        <w:rPr>
          <w:szCs w:val="22"/>
          <w:lang w:eastAsia="zh-CN"/>
        </w:rPr>
        <w:t>authorisation</w:t>
      </w:r>
      <w:proofErr w:type="spellEnd"/>
      <w:r w:rsidRPr="008C2F68">
        <w:rPr>
          <w:szCs w:val="22"/>
          <w:lang w:eastAsia="zh-CN"/>
        </w:rPr>
        <w:t xml:space="preserve"> of these interim financial s</w:t>
      </w:r>
      <w:r w:rsidR="00317F12" w:rsidRPr="008C2F68">
        <w:rPr>
          <w:szCs w:val="22"/>
          <w:lang w:eastAsia="zh-CN"/>
        </w:rPr>
        <w:t>tatements, the following MFRSs</w:t>
      </w:r>
      <w:r w:rsidR="00317F12" w:rsidRPr="008C2F68">
        <w:rPr>
          <w:rFonts w:hint="eastAsia"/>
          <w:szCs w:val="22"/>
          <w:lang w:eastAsia="zh-CN"/>
        </w:rPr>
        <w:t xml:space="preserve"> and</w:t>
      </w:r>
      <w:r w:rsidRPr="008C2F68">
        <w:rPr>
          <w:rFonts w:hint="eastAsia"/>
          <w:szCs w:val="22"/>
          <w:lang w:eastAsia="zh-CN"/>
        </w:rPr>
        <w:t xml:space="preserve"> </w:t>
      </w:r>
      <w:r w:rsidRPr="008C2F68">
        <w:rPr>
          <w:szCs w:val="22"/>
          <w:lang w:eastAsia="zh-CN"/>
        </w:rPr>
        <w:t>Amendments to MFRSs were issued but not yet effective and have not</w:t>
      </w:r>
      <w:r w:rsidRPr="008C2F68">
        <w:rPr>
          <w:rFonts w:hint="eastAsia"/>
          <w:szCs w:val="22"/>
          <w:lang w:eastAsia="zh-CN"/>
        </w:rPr>
        <w:t xml:space="preserve"> </w:t>
      </w:r>
      <w:r w:rsidRPr="008C2F68">
        <w:rPr>
          <w:szCs w:val="22"/>
          <w:lang w:eastAsia="zh-CN"/>
        </w:rPr>
        <w:t>been applied by the Group:</w:t>
      </w:r>
    </w:p>
    <w:p w:rsidR="0053559F" w:rsidRPr="008C2F68" w:rsidRDefault="0053559F" w:rsidP="006A08B0">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70"/>
        <w:gridCol w:w="3078"/>
      </w:tblGrid>
      <w:tr w:rsidR="0029492E" w:rsidRPr="008C2F68" w:rsidTr="00317F12">
        <w:tc>
          <w:tcPr>
            <w:tcW w:w="6678" w:type="dxa"/>
            <w:gridSpan w:val="2"/>
            <w:shd w:val="clear" w:color="auto" w:fill="auto"/>
          </w:tcPr>
          <w:p w:rsidR="0029492E" w:rsidRPr="008C2F68" w:rsidRDefault="0029492E" w:rsidP="00317F12">
            <w:pPr>
              <w:pStyle w:val="BodyText"/>
              <w:rPr>
                <w:b/>
                <w:szCs w:val="22"/>
                <w:lang w:eastAsia="zh-CN"/>
              </w:rPr>
            </w:pPr>
            <w:r w:rsidRPr="008C2F68">
              <w:rPr>
                <w:rFonts w:hint="eastAsia"/>
                <w:b/>
                <w:szCs w:val="22"/>
                <w:lang w:eastAsia="zh-CN"/>
              </w:rPr>
              <w:t>MFRSs</w:t>
            </w:r>
            <w:r w:rsidR="00317F12" w:rsidRPr="008C2F68">
              <w:rPr>
                <w:rFonts w:hint="eastAsia"/>
                <w:b/>
                <w:szCs w:val="22"/>
                <w:lang w:eastAsia="zh-CN"/>
              </w:rPr>
              <w:t xml:space="preserve"> and</w:t>
            </w:r>
            <w:r w:rsidRPr="008C2F68">
              <w:rPr>
                <w:rFonts w:hint="eastAsia"/>
                <w:b/>
                <w:szCs w:val="22"/>
                <w:lang w:eastAsia="zh-CN"/>
              </w:rPr>
              <w:t xml:space="preserve"> Amendments to FRSs issued but not yet effective</w:t>
            </w:r>
          </w:p>
        </w:tc>
        <w:tc>
          <w:tcPr>
            <w:tcW w:w="3078" w:type="dxa"/>
            <w:shd w:val="clear" w:color="auto" w:fill="auto"/>
          </w:tcPr>
          <w:p w:rsidR="0029492E" w:rsidRPr="008C2F68" w:rsidRDefault="0029492E" w:rsidP="006A08B0">
            <w:pPr>
              <w:pStyle w:val="BodyText"/>
              <w:rPr>
                <w:b/>
                <w:szCs w:val="22"/>
                <w:lang w:eastAsia="zh-CN"/>
              </w:rPr>
            </w:pPr>
            <w:r w:rsidRPr="008C2F68">
              <w:rPr>
                <w:rFonts w:hint="eastAsia"/>
                <w:b/>
                <w:szCs w:val="22"/>
                <w:lang w:eastAsia="zh-CN"/>
              </w:rPr>
              <w:t>Effective for annual periods beginning on or after</w:t>
            </w:r>
          </w:p>
        </w:tc>
      </w:tr>
      <w:tr w:rsidR="001D5C5B" w:rsidRPr="008C2F68" w:rsidTr="003D15B9">
        <w:tc>
          <w:tcPr>
            <w:tcW w:w="1908" w:type="dxa"/>
            <w:shd w:val="clear" w:color="auto" w:fill="auto"/>
          </w:tcPr>
          <w:p w:rsidR="001D5C5B" w:rsidRPr="008C2F68" w:rsidRDefault="00332C56" w:rsidP="003D15B9">
            <w:pPr>
              <w:pStyle w:val="BodyText"/>
              <w:rPr>
                <w:szCs w:val="22"/>
                <w:lang w:eastAsia="zh-CN"/>
              </w:rPr>
            </w:pPr>
            <w:r w:rsidRPr="008C2F68">
              <w:rPr>
                <w:szCs w:val="22"/>
                <w:lang w:eastAsia="zh-CN"/>
              </w:rPr>
              <w:t xml:space="preserve">Amendments to </w:t>
            </w:r>
            <w:r w:rsidR="001D5C5B" w:rsidRPr="008C2F68">
              <w:rPr>
                <w:rFonts w:hint="eastAsia"/>
                <w:szCs w:val="22"/>
                <w:lang w:eastAsia="zh-CN"/>
              </w:rPr>
              <w:t>MFRS 10</w:t>
            </w:r>
            <w:r w:rsidRPr="008C2F68">
              <w:rPr>
                <w:szCs w:val="22"/>
                <w:lang w:eastAsia="zh-CN"/>
              </w:rPr>
              <w:t>, MFRS 12 and MFRS 127</w:t>
            </w:r>
          </w:p>
        </w:tc>
        <w:tc>
          <w:tcPr>
            <w:tcW w:w="4770" w:type="dxa"/>
            <w:shd w:val="clear" w:color="auto" w:fill="auto"/>
          </w:tcPr>
          <w:p w:rsidR="001D5C5B" w:rsidRPr="008C2F68" w:rsidRDefault="001D5C5B" w:rsidP="001D5C5B">
            <w:pPr>
              <w:pStyle w:val="BodyText"/>
              <w:rPr>
                <w:szCs w:val="22"/>
                <w:lang w:eastAsia="zh-CN"/>
              </w:rPr>
            </w:pPr>
            <w:r w:rsidRPr="008C2F68">
              <w:rPr>
                <w:rFonts w:hint="eastAsia"/>
                <w:szCs w:val="22"/>
                <w:lang w:eastAsia="zh-CN"/>
              </w:rPr>
              <w:t xml:space="preserve">Investment Entities </w:t>
            </w:r>
          </w:p>
        </w:tc>
        <w:tc>
          <w:tcPr>
            <w:tcW w:w="3078" w:type="dxa"/>
            <w:shd w:val="clear" w:color="auto" w:fill="auto"/>
          </w:tcPr>
          <w:p w:rsidR="001D5C5B" w:rsidRPr="008C2F68" w:rsidRDefault="001D5C5B" w:rsidP="003D15B9">
            <w:pPr>
              <w:pStyle w:val="BodyText"/>
              <w:rPr>
                <w:szCs w:val="22"/>
                <w:lang w:eastAsia="zh-CN"/>
              </w:rPr>
            </w:pPr>
            <w:r w:rsidRPr="008C2F68">
              <w:rPr>
                <w:rFonts w:hint="eastAsia"/>
                <w:szCs w:val="22"/>
                <w:lang w:eastAsia="zh-CN"/>
              </w:rPr>
              <w:t>1 January 2014</w:t>
            </w:r>
          </w:p>
        </w:tc>
      </w:tr>
      <w:bookmarkEnd w:id="0"/>
      <w:bookmarkEnd w:id="1"/>
      <w:tr w:rsidR="00CC2DAE" w:rsidRPr="008C2F68" w:rsidTr="003D15B9">
        <w:tc>
          <w:tcPr>
            <w:tcW w:w="1908" w:type="dxa"/>
            <w:shd w:val="clear" w:color="auto" w:fill="auto"/>
          </w:tcPr>
          <w:p w:rsidR="00CC2DAE" w:rsidRPr="008C2F68" w:rsidRDefault="00CC2DAE" w:rsidP="003D15B9">
            <w:pPr>
              <w:pStyle w:val="BodyText"/>
              <w:rPr>
                <w:szCs w:val="22"/>
                <w:lang w:eastAsia="zh-CN"/>
              </w:rPr>
            </w:pPr>
            <w:r w:rsidRPr="008C2F68">
              <w:rPr>
                <w:rFonts w:hint="eastAsia"/>
                <w:szCs w:val="22"/>
                <w:lang w:eastAsia="zh-CN"/>
              </w:rPr>
              <w:t>Amendments to MFRS 132</w:t>
            </w:r>
          </w:p>
        </w:tc>
        <w:tc>
          <w:tcPr>
            <w:tcW w:w="4770" w:type="dxa"/>
            <w:shd w:val="clear" w:color="auto" w:fill="auto"/>
          </w:tcPr>
          <w:p w:rsidR="00CC2DAE" w:rsidRPr="008C2F68" w:rsidRDefault="00CC2DAE" w:rsidP="003D15B9">
            <w:pPr>
              <w:pStyle w:val="BodyText"/>
              <w:rPr>
                <w:szCs w:val="22"/>
                <w:lang w:eastAsia="zh-CN"/>
              </w:rPr>
            </w:pPr>
            <w:r w:rsidRPr="008C2F68">
              <w:rPr>
                <w:rFonts w:hint="eastAsia"/>
                <w:szCs w:val="22"/>
                <w:lang w:eastAsia="zh-CN"/>
              </w:rPr>
              <w:t xml:space="preserve">Offsetting Financial Assets and Financial Liabilities </w:t>
            </w:r>
          </w:p>
        </w:tc>
        <w:tc>
          <w:tcPr>
            <w:tcW w:w="3078" w:type="dxa"/>
            <w:shd w:val="clear" w:color="auto" w:fill="auto"/>
          </w:tcPr>
          <w:p w:rsidR="00CC2DAE" w:rsidRPr="008C2F68" w:rsidRDefault="00CC2DAE" w:rsidP="003D15B9">
            <w:pPr>
              <w:pStyle w:val="BodyText"/>
              <w:rPr>
                <w:szCs w:val="22"/>
                <w:lang w:eastAsia="zh-CN"/>
              </w:rPr>
            </w:pPr>
            <w:r w:rsidRPr="008C2F68">
              <w:rPr>
                <w:rFonts w:hint="eastAsia"/>
                <w:szCs w:val="22"/>
                <w:lang w:eastAsia="zh-CN"/>
              </w:rPr>
              <w:t>1 January 2014</w:t>
            </w:r>
          </w:p>
        </w:tc>
      </w:tr>
      <w:tr w:rsidR="009F0E04" w:rsidRPr="008C2F68" w:rsidTr="003D15B9">
        <w:tc>
          <w:tcPr>
            <w:tcW w:w="1908" w:type="dxa"/>
            <w:shd w:val="clear" w:color="auto" w:fill="auto"/>
          </w:tcPr>
          <w:p w:rsidR="009F0E04" w:rsidRPr="008C2F68" w:rsidRDefault="009F0E04" w:rsidP="003D15B9">
            <w:pPr>
              <w:pStyle w:val="BodyText"/>
              <w:rPr>
                <w:szCs w:val="22"/>
                <w:lang w:eastAsia="zh-CN"/>
              </w:rPr>
            </w:pPr>
            <w:r w:rsidRPr="008C2F68">
              <w:rPr>
                <w:rFonts w:hint="eastAsia"/>
                <w:szCs w:val="22"/>
                <w:lang w:eastAsia="zh-CN"/>
              </w:rPr>
              <w:t>Amendments to MFRS 13</w:t>
            </w:r>
            <w:r w:rsidRPr="008C2F68">
              <w:rPr>
                <w:szCs w:val="22"/>
                <w:lang w:eastAsia="zh-CN"/>
              </w:rPr>
              <w:t>6</w:t>
            </w:r>
          </w:p>
        </w:tc>
        <w:tc>
          <w:tcPr>
            <w:tcW w:w="4770" w:type="dxa"/>
            <w:shd w:val="clear" w:color="auto" w:fill="auto"/>
          </w:tcPr>
          <w:p w:rsidR="009F0E04" w:rsidRPr="008C2F68" w:rsidRDefault="009F0E04" w:rsidP="003D15B9">
            <w:pPr>
              <w:pStyle w:val="BodyText"/>
              <w:rPr>
                <w:szCs w:val="22"/>
                <w:lang w:eastAsia="zh-CN"/>
              </w:rPr>
            </w:pPr>
            <w:r w:rsidRPr="008C2F68">
              <w:rPr>
                <w:szCs w:val="22"/>
                <w:lang w:eastAsia="zh-CN"/>
              </w:rPr>
              <w:t xml:space="preserve">Recoverable Amount- Disclosure for Non-Financial Assets </w:t>
            </w:r>
          </w:p>
        </w:tc>
        <w:tc>
          <w:tcPr>
            <w:tcW w:w="3078" w:type="dxa"/>
            <w:shd w:val="clear" w:color="auto" w:fill="auto"/>
          </w:tcPr>
          <w:p w:rsidR="009F0E04" w:rsidRPr="008C2F68" w:rsidRDefault="009F0E04" w:rsidP="00297FF9">
            <w:pPr>
              <w:pStyle w:val="BodyText"/>
              <w:rPr>
                <w:szCs w:val="22"/>
                <w:lang w:eastAsia="zh-CN"/>
              </w:rPr>
            </w:pPr>
            <w:r w:rsidRPr="008C2F68">
              <w:rPr>
                <w:rFonts w:hint="eastAsia"/>
                <w:szCs w:val="22"/>
                <w:lang w:eastAsia="zh-CN"/>
              </w:rPr>
              <w:t>1 January 2014</w:t>
            </w:r>
          </w:p>
        </w:tc>
      </w:tr>
      <w:tr w:rsidR="00536670" w:rsidRPr="008C2F68" w:rsidTr="003D15B9">
        <w:tc>
          <w:tcPr>
            <w:tcW w:w="1908" w:type="dxa"/>
            <w:shd w:val="clear" w:color="auto" w:fill="auto"/>
          </w:tcPr>
          <w:p w:rsidR="00536670" w:rsidRPr="008C2F68" w:rsidRDefault="00536670" w:rsidP="00297FF9">
            <w:pPr>
              <w:pStyle w:val="BodyText"/>
              <w:rPr>
                <w:szCs w:val="22"/>
                <w:lang w:eastAsia="zh-CN"/>
              </w:rPr>
            </w:pPr>
            <w:r w:rsidRPr="008C2F68">
              <w:rPr>
                <w:rFonts w:hint="eastAsia"/>
                <w:szCs w:val="22"/>
                <w:lang w:eastAsia="zh-CN"/>
              </w:rPr>
              <w:t>Amendments to MFRS 13</w:t>
            </w:r>
            <w:r w:rsidRPr="008C2F68">
              <w:rPr>
                <w:szCs w:val="22"/>
                <w:lang w:eastAsia="zh-CN"/>
              </w:rPr>
              <w:t>9</w:t>
            </w:r>
          </w:p>
        </w:tc>
        <w:tc>
          <w:tcPr>
            <w:tcW w:w="4770" w:type="dxa"/>
            <w:shd w:val="clear" w:color="auto" w:fill="auto"/>
          </w:tcPr>
          <w:p w:rsidR="00536670" w:rsidRPr="008C2F68" w:rsidRDefault="00536670" w:rsidP="00297FF9">
            <w:pPr>
              <w:pStyle w:val="BodyText"/>
              <w:rPr>
                <w:szCs w:val="22"/>
                <w:lang w:eastAsia="zh-CN"/>
              </w:rPr>
            </w:pPr>
            <w:r w:rsidRPr="008C2F68">
              <w:rPr>
                <w:szCs w:val="22"/>
                <w:lang w:eastAsia="zh-CN"/>
              </w:rPr>
              <w:t>Novation of Derivatives and Continuation of Hedge Accounting</w:t>
            </w:r>
          </w:p>
        </w:tc>
        <w:tc>
          <w:tcPr>
            <w:tcW w:w="3078" w:type="dxa"/>
            <w:shd w:val="clear" w:color="auto" w:fill="auto"/>
          </w:tcPr>
          <w:p w:rsidR="00536670" w:rsidRPr="008C2F68" w:rsidRDefault="00536670" w:rsidP="00297FF9">
            <w:pPr>
              <w:pStyle w:val="BodyText"/>
              <w:rPr>
                <w:szCs w:val="22"/>
                <w:lang w:eastAsia="zh-CN"/>
              </w:rPr>
            </w:pPr>
            <w:r w:rsidRPr="008C2F68">
              <w:rPr>
                <w:rFonts w:hint="eastAsia"/>
                <w:szCs w:val="22"/>
                <w:lang w:eastAsia="zh-CN"/>
              </w:rPr>
              <w:t>1 January 2014</w:t>
            </w:r>
          </w:p>
        </w:tc>
      </w:tr>
      <w:tr w:rsidR="00536670" w:rsidRPr="008C2F68" w:rsidTr="003D15B9">
        <w:tc>
          <w:tcPr>
            <w:tcW w:w="1908" w:type="dxa"/>
            <w:shd w:val="clear" w:color="auto" w:fill="auto"/>
          </w:tcPr>
          <w:p w:rsidR="00536670" w:rsidRPr="008C2F68" w:rsidRDefault="00536670" w:rsidP="003D15B9">
            <w:pPr>
              <w:pStyle w:val="BodyText"/>
              <w:rPr>
                <w:szCs w:val="22"/>
                <w:lang w:eastAsia="zh-CN"/>
              </w:rPr>
            </w:pPr>
            <w:r w:rsidRPr="008C2F68">
              <w:rPr>
                <w:szCs w:val="22"/>
                <w:lang w:eastAsia="zh-CN"/>
              </w:rPr>
              <w:t>MFRS 9</w:t>
            </w:r>
          </w:p>
        </w:tc>
        <w:tc>
          <w:tcPr>
            <w:tcW w:w="4770" w:type="dxa"/>
            <w:shd w:val="clear" w:color="auto" w:fill="auto"/>
          </w:tcPr>
          <w:p w:rsidR="00536670" w:rsidRPr="008C2F68" w:rsidRDefault="00536670" w:rsidP="003D15B9">
            <w:pPr>
              <w:pStyle w:val="BodyText"/>
              <w:rPr>
                <w:szCs w:val="22"/>
                <w:lang w:eastAsia="zh-CN"/>
              </w:rPr>
            </w:pPr>
            <w:r w:rsidRPr="008C2F68">
              <w:rPr>
                <w:szCs w:val="22"/>
                <w:lang w:eastAsia="zh-CN"/>
              </w:rPr>
              <w:t>Financial Instruments (IFRS 9 issued by</w:t>
            </w:r>
            <w:r w:rsidRPr="008C2F68">
              <w:rPr>
                <w:rFonts w:hint="eastAsia"/>
                <w:szCs w:val="22"/>
                <w:lang w:eastAsia="zh-CN"/>
              </w:rPr>
              <w:t xml:space="preserve"> </w:t>
            </w:r>
            <w:r w:rsidRPr="008C2F68">
              <w:rPr>
                <w:szCs w:val="22"/>
                <w:lang w:eastAsia="zh-CN"/>
              </w:rPr>
              <w:t>IASB in November 2009 and October</w:t>
            </w:r>
            <w:r w:rsidRPr="008C2F68">
              <w:rPr>
                <w:rFonts w:hint="eastAsia"/>
                <w:szCs w:val="22"/>
                <w:lang w:eastAsia="zh-CN"/>
              </w:rPr>
              <w:t xml:space="preserve"> </w:t>
            </w:r>
            <w:r w:rsidRPr="008C2F68">
              <w:rPr>
                <w:szCs w:val="22"/>
                <w:lang w:eastAsia="zh-CN"/>
              </w:rPr>
              <w:t>2010)</w:t>
            </w:r>
          </w:p>
        </w:tc>
        <w:tc>
          <w:tcPr>
            <w:tcW w:w="3078" w:type="dxa"/>
            <w:shd w:val="clear" w:color="auto" w:fill="auto"/>
          </w:tcPr>
          <w:p w:rsidR="00536670" w:rsidRPr="008C2F68" w:rsidRDefault="00536670" w:rsidP="003D15B9">
            <w:pPr>
              <w:pStyle w:val="BodyText"/>
              <w:rPr>
                <w:szCs w:val="22"/>
                <w:lang w:eastAsia="zh-CN"/>
              </w:rPr>
            </w:pPr>
            <w:r w:rsidRPr="008C2F68">
              <w:rPr>
                <w:szCs w:val="22"/>
                <w:lang w:eastAsia="zh-CN"/>
              </w:rPr>
              <w:t>1 January 2015</w:t>
            </w:r>
          </w:p>
        </w:tc>
      </w:tr>
    </w:tbl>
    <w:p w:rsidR="00D561BD" w:rsidRPr="008C2F68" w:rsidRDefault="00D561BD" w:rsidP="006A08B0">
      <w:pPr>
        <w:jc w:val="both"/>
        <w:rPr>
          <w:b/>
          <w:bCs/>
          <w:szCs w:val="22"/>
          <w:lang w:eastAsia="zh-CN"/>
        </w:rPr>
      </w:pPr>
    </w:p>
    <w:p w:rsidR="00541004" w:rsidRPr="008C2F68" w:rsidRDefault="00FE47F5" w:rsidP="006A08B0">
      <w:pPr>
        <w:jc w:val="both"/>
        <w:rPr>
          <w:b/>
          <w:bCs/>
          <w:szCs w:val="22"/>
          <w:lang w:eastAsia="zh-CN"/>
        </w:rPr>
      </w:pPr>
      <w:r w:rsidRPr="008C2F68">
        <w:rPr>
          <w:rFonts w:hint="eastAsia"/>
          <w:b/>
          <w:bCs/>
          <w:szCs w:val="22"/>
          <w:lang w:eastAsia="zh-CN"/>
        </w:rPr>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r w:rsidR="00A154BF" w:rsidRPr="008C2F68">
        <w:rPr>
          <w:szCs w:val="22"/>
        </w:rPr>
        <w:t xml:space="preserve">material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quarter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541004" w:rsidRPr="008C2F68" w:rsidRDefault="00541004" w:rsidP="006A08B0">
      <w:pPr>
        <w:pStyle w:val="BodyText"/>
        <w:ind w:left="720"/>
        <w:rPr>
          <w:szCs w:val="22"/>
          <w:lang w:eastAsia="zh-CN"/>
        </w:rPr>
      </w:pPr>
    </w:p>
    <w:p w:rsidR="00C31E51" w:rsidRPr="008C2F68" w:rsidRDefault="0026443F" w:rsidP="00C31E51">
      <w:pPr>
        <w:tabs>
          <w:tab w:val="clear" w:pos="720"/>
          <w:tab w:val="clear" w:pos="1440"/>
        </w:tabs>
        <w:autoSpaceDE w:val="0"/>
        <w:autoSpaceDN w:val="0"/>
        <w:adjustRightInd w:val="0"/>
        <w:ind w:left="720"/>
        <w:jc w:val="both"/>
        <w:rPr>
          <w:szCs w:val="22"/>
          <w:lang w:eastAsia="zh-CN"/>
        </w:rPr>
      </w:pPr>
      <w:r w:rsidRPr="008C2F68">
        <w:rPr>
          <w:szCs w:val="22"/>
        </w:rPr>
        <w:t>T</w:t>
      </w:r>
      <w:r w:rsidR="00C31E51" w:rsidRPr="008C2F68">
        <w:rPr>
          <w:szCs w:val="22"/>
        </w:rPr>
        <w:t>here were no issuance and repayment of debt and equity securities, share buy-backs and share cancellation for the current financial quarter under review.</w:t>
      </w:r>
    </w:p>
    <w:p w:rsidR="00871810" w:rsidRPr="008C2F68" w:rsidRDefault="00871810" w:rsidP="000F532C">
      <w:pPr>
        <w:tabs>
          <w:tab w:val="clear" w:pos="720"/>
          <w:tab w:val="clear" w:pos="1440"/>
        </w:tabs>
        <w:autoSpaceDE w:val="0"/>
        <w:autoSpaceDN w:val="0"/>
        <w:adjustRightInd w:val="0"/>
        <w:ind w:left="720"/>
        <w:jc w:val="both"/>
        <w:rPr>
          <w:szCs w:val="22"/>
          <w:lang w:eastAsia="zh-CN"/>
        </w:rPr>
      </w:pPr>
    </w:p>
    <w:p w:rsidR="00541004" w:rsidRPr="008C2F68" w:rsidRDefault="00FE47F5" w:rsidP="006A08B0">
      <w:pPr>
        <w:pStyle w:val="BodyText"/>
        <w:rPr>
          <w:b/>
          <w:bCs/>
          <w:szCs w:val="22"/>
          <w:lang w:eastAsia="zh-CN"/>
        </w:rPr>
      </w:pPr>
      <w:r w:rsidRPr="008C2F68">
        <w:rPr>
          <w:rFonts w:hint="eastAsia"/>
          <w:b/>
          <w:bCs/>
          <w:szCs w:val="22"/>
          <w:lang w:eastAsia="zh-CN"/>
        </w:rPr>
        <w:t>8</w:t>
      </w:r>
      <w:r w:rsidR="00541004" w:rsidRPr="008C2F68">
        <w:rPr>
          <w:b/>
          <w:bCs/>
          <w:szCs w:val="22"/>
        </w:rPr>
        <w:t>.</w:t>
      </w:r>
      <w:r w:rsidR="00541004" w:rsidRPr="008C2F68">
        <w:rPr>
          <w:b/>
          <w:bCs/>
          <w:szCs w:val="22"/>
        </w:rPr>
        <w:tab/>
        <w:t xml:space="preserve">Dividend </w:t>
      </w:r>
      <w:r w:rsidR="00F846C0" w:rsidRPr="008C2F68">
        <w:rPr>
          <w:b/>
          <w:bCs/>
          <w:szCs w:val="22"/>
        </w:rPr>
        <w:t>Declared</w:t>
      </w:r>
      <w:r w:rsidR="002E6F18" w:rsidRPr="008C2F68">
        <w:rPr>
          <w:b/>
          <w:bCs/>
          <w:szCs w:val="22"/>
        </w:rPr>
        <w:t>/</w:t>
      </w:r>
      <w:r w:rsidR="00541004" w:rsidRPr="008C2F68">
        <w:rPr>
          <w:b/>
          <w:bCs/>
          <w:szCs w:val="22"/>
        </w:rPr>
        <w:t>Paid</w:t>
      </w:r>
    </w:p>
    <w:p w:rsidR="0095432E" w:rsidRPr="008C2F68" w:rsidRDefault="0095432E" w:rsidP="006A08B0">
      <w:pPr>
        <w:pStyle w:val="BodyText"/>
        <w:rPr>
          <w:b/>
          <w:bCs/>
          <w:szCs w:val="22"/>
          <w:lang w:eastAsia="zh-CN"/>
        </w:rPr>
      </w:pPr>
    </w:p>
    <w:p w:rsidR="004B6657" w:rsidRPr="008C2F68" w:rsidRDefault="004B6657" w:rsidP="004B6657">
      <w:pPr>
        <w:pStyle w:val="BodyText"/>
        <w:ind w:left="720"/>
        <w:rPr>
          <w:bCs/>
          <w:szCs w:val="22"/>
          <w:lang w:eastAsia="zh-CN"/>
        </w:rPr>
      </w:pPr>
      <w:r w:rsidRPr="008C2F68">
        <w:rPr>
          <w:rFonts w:hint="eastAsia"/>
          <w:bCs/>
          <w:szCs w:val="22"/>
          <w:lang w:eastAsia="zh-CN"/>
        </w:rPr>
        <w:t>The dividend</w:t>
      </w:r>
      <w:r w:rsidRPr="008C2F68">
        <w:rPr>
          <w:bCs/>
          <w:szCs w:val="22"/>
          <w:lang w:eastAsia="zh-CN"/>
        </w:rPr>
        <w:t xml:space="preserve"> declared/</w:t>
      </w:r>
      <w:r w:rsidRPr="008C2F68">
        <w:rPr>
          <w:rFonts w:hint="eastAsia"/>
          <w:bCs/>
          <w:szCs w:val="22"/>
          <w:lang w:eastAsia="zh-CN"/>
        </w:rPr>
        <w:t>paid during the current financial quarter and cumulative financial year-to-date is as follows:</w:t>
      </w:r>
    </w:p>
    <w:tbl>
      <w:tblPr>
        <w:tblW w:w="0" w:type="auto"/>
        <w:tblInd w:w="720" w:type="dxa"/>
        <w:tblLook w:val="04A0" w:firstRow="1" w:lastRow="0" w:firstColumn="1" w:lastColumn="0" w:noHBand="0" w:noVBand="1"/>
      </w:tblPr>
      <w:tblGrid>
        <w:gridCol w:w="6858"/>
        <w:gridCol w:w="1440"/>
        <w:gridCol w:w="1440"/>
      </w:tblGrid>
      <w:tr w:rsidR="004B6657" w:rsidRPr="008C2F68" w:rsidTr="009619A3">
        <w:tc>
          <w:tcPr>
            <w:tcW w:w="6858" w:type="dxa"/>
          </w:tcPr>
          <w:p w:rsidR="004B6657" w:rsidRPr="008C2F68" w:rsidRDefault="004B6657" w:rsidP="00EA2834">
            <w:pPr>
              <w:pStyle w:val="BodyText"/>
              <w:tabs>
                <w:tab w:val="clear" w:pos="1080"/>
              </w:tabs>
              <w:jc w:val="left"/>
              <w:rPr>
                <w:szCs w:val="22"/>
                <w:lang w:eastAsia="zh-CN"/>
              </w:rPr>
            </w:pPr>
          </w:p>
        </w:tc>
        <w:tc>
          <w:tcPr>
            <w:tcW w:w="1440" w:type="dxa"/>
          </w:tcPr>
          <w:p w:rsidR="004B6657" w:rsidRPr="008C2F68" w:rsidRDefault="004B6657" w:rsidP="00EA2834">
            <w:pPr>
              <w:pStyle w:val="BodyText"/>
              <w:tabs>
                <w:tab w:val="clear" w:pos="1080"/>
              </w:tabs>
              <w:jc w:val="right"/>
              <w:rPr>
                <w:b/>
                <w:szCs w:val="22"/>
                <w:lang w:eastAsia="zh-CN"/>
              </w:rPr>
            </w:pPr>
          </w:p>
        </w:tc>
        <w:tc>
          <w:tcPr>
            <w:tcW w:w="1440" w:type="dxa"/>
            <w:shd w:val="clear" w:color="auto" w:fill="auto"/>
          </w:tcPr>
          <w:p w:rsidR="004B6657" w:rsidRPr="008C2F68" w:rsidRDefault="004B6657" w:rsidP="00EA2834">
            <w:pPr>
              <w:pStyle w:val="BodyText"/>
              <w:tabs>
                <w:tab w:val="clear" w:pos="1080"/>
              </w:tabs>
              <w:jc w:val="right"/>
              <w:rPr>
                <w:b/>
                <w:szCs w:val="22"/>
                <w:lang w:eastAsia="zh-CN"/>
              </w:rPr>
            </w:pPr>
          </w:p>
        </w:tc>
      </w:tr>
      <w:tr w:rsidR="004B6657" w:rsidRPr="008C2F68" w:rsidTr="009619A3">
        <w:tc>
          <w:tcPr>
            <w:tcW w:w="6858" w:type="dxa"/>
          </w:tcPr>
          <w:p w:rsidR="004B6657" w:rsidRPr="008C2F68" w:rsidRDefault="004B6657" w:rsidP="00EA2834">
            <w:pPr>
              <w:pStyle w:val="BodyText"/>
              <w:tabs>
                <w:tab w:val="clear" w:pos="1080"/>
              </w:tabs>
              <w:jc w:val="left"/>
              <w:rPr>
                <w:szCs w:val="22"/>
                <w:lang w:eastAsia="zh-CN"/>
              </w:rPr>
            </w:pPr>
          </w:p>
        </w:tc>
        <w:tc>
          <w:tcPr>
            <w:tcW w:w="1440" w:type="dxa"/>
          </w:tcPr>
          <w:p w:rsidR="004B6657" w:rsidRPr="008C2F68" w:rsidRDefault="004B6657" w:rsidP="004B6657">
            <w:pPr>
              <w:pStyle w:val="BodyText"/>
              <w:tabs>
                <w:tab w:val="clear" w:pos="1080"/>
              </w:tabs>
              <w:jc w:val="right"/>
              <w:rPr>
                <w:b/>
                <w:szCs w:val="22"/>
                <w:lang w:eastAsia="zh-CN"/>
              </w:rPr>
            </w:pPr>
            <w:r w:rsidRPr="008C2F68">
              <w:rPr>
                <w:rFonts w:hint="eastAsia"/>
                <w:b/>
                <w:szCs w:val="22"/>
                <w:lang w:eastAsia="zh-CN"/>
              </w:rPr>
              <w:t>201</w:t>
            </w:r>
            <w:r w:rsidRPr="008C2F68">
              <w:rPr>
                <w:b/>
                <w:szCs w:val="22"/>
                <w:lang w:eastAsia="zh-CN"/>
              </w:rPr>
              <w:t>3</w:t>
            </w:r>
          </w:p>
        </w:tc>
        <w:tc>
          <w:tcPr>
            <w:tcW w:w="1440" w:type="dxa"/>
            <w:shd w:val="clear" w:color="auto" w:fill="auto"/>
          </w:tcPr>
          <w:p w:rsidR="004B6657" w:rsidRPr="008C2F68" w:rsidRDefault="004B6657" w:rsidP="004B6657">
            <w:pPr>
              <w:pStyle w:val="BodyText"/>
              <w:tabs>
                <w:tab w:val="clear" w:pos="1080"/>
              </w:tabs>
              <w:jc w:val="right"/>
              <w:rPr>
                <w:b/>
                <w:szCs w:val="22"/>
                <w:lang w:eastAsia="zh-CN"/>
              </w:rPr>
            </w:pPr>
            <w:r w:rsidRPr="008C2F68">
              <w:rPr>
                <w:rFonts w:hint="eastAsia"/>
                <w:b/>
                <w:szCs w:val="22"/>
                <w:lang w:eastAsia="zh-CN"/>
              </w:rPr>
              <w:t>201</w:t>
            </w:r>
            <w:r w:rsidRPr="008C2F68">
              <w:rPr>
                <w:b/>
                <w:szCs w:val="22"/>
                <w:lang w:eastAsia="zh-CN"/>
              </w:rPr>
              <w:t>2</w:t>
            </w:r>
          </w:p>
        </w:tc>
      </w:tr>
      <w:tr w:rsidR="004B6657" w:rsidRPr="008C2F68" w:rsidTr="009619A3">
        <w:tc>
          <w:tcPr>
            <w:tcW w:w="6858" w:type="dxa"/>
          </w:tcPr>
          <w:p w:rsidR="004B6657" w:rsidRPr="008C2F68" w:rsidRDefault="004B6657" w:rsidP="00EA2834">
            <w:pPr>
              <w:pStyle w:val="BodyText"/>
              <w:tabs>
                <w:tab w:val="clear" w:pos="1080"/>
              </w:tabs>
              <w:jc w:val="left"/>
              <w:rPr>
                <w:szCs w:val="22"/>
                <w:lang w:eastAsia="zh-CN"/>
              </w:rPr>
            </w:pPr>
          </w:p>
          <w:p w:rsidR="004B6657" w:rsidRPr="008C2F68" w:rsidRDefault="004B6657" w:rsidP="004269F2">
            <w:pPr>
              <w:pStyle w:val="BodyText"/>
              <w:tabs>
                <w:tab w:val="clear" w:pos="1080"/>
              </w:tabs>
              <w:jc w:val="left"/>
              <w:rPr>
                <w:szCs w:val="22"/>
                <w:lang w:eastAsia="zh-CN"/>
              </w:rPr>
            </w:pPr>
            <w:r w:rsidRPr="008C2F68">
              <w:rPr>
                <w:szCs w:val="22"/>
                <w:lang w:eastAsia="zh-CN"/>
              </w:rPr>
              <w:t>Final</w:t>
            </w:r>
            <w:r w:rsidRPr="008C2F68">
              <w:rPr>
                <w:rFonts w:hint="eastAsia"/>
                <w:szCs w:val="22"/>
                <w:lang w:eastAsia="zh-CN"/>
              </w:rPr>
              <w:t xml:space="preserve"> dividend</w:t>
            </w:r>
            <w:r w:rsidR="00851342" w:rsidRPr="008C2F68">
              <w:rPr>
                <w:szCs w:val="22"/>
                <w:lang w:eastAsia="zh-CN"/>
              </w:rPr>
              <w:t>:</w:t>
            </w:r>
            <w:r w:rsidR="004958C3" w:rsidRPr="008C2F68">
              <w:rPr>
                <w:szCs w:val="22"/>
                <w:lang w:eastAsia="zh-CN"/>
              </w:rPr>
              <w:t xml:space="preserve"> </w:t>
            </w:r>
          </w:p>
        </w:tc>
        <w:tc>
          <w:tcPr>
            <w:tcW w:w="1440" w:type="dxa"/>
          </w:tcPr>
          <w:p w:rsidR="004B6657" w:rsidRPr="008C2F68" w:rsidRDefault="004B6657" w:rsidP="00EA2834">
            <w:pPr>
              <w:pStyle w:val="BodyText"/>
              <w:tabs>
                <w:tab w:val="clear" w:pos="1080"/>
              </w:tabs>
              <w:jc w:val="right"/>
              <w:rPr>
                <w:b/>
                <w:szCs w:val="22"/>
                <w:lang w:eastAsia="zh-CN"/>
              </w:rPr>
            </w:pPr>
            <w:r w:rsidRPr="008C2F68">
              <w:rPr>
                <w:b/>
                <w:szCs w:val="22"/>
              </w:rPr>
              <w:t>RM</w:t>
            </w:r>
          </w:p>
          <w:p w:rsidR="004B6657" w:rsidRPr="008C2F68" w:rsidRDefault="004B6657" w:rsidP="00EA2834">
            <w:pPr>
              <w:pStyle w:val="BodyText"/>
              <w:tabs>
                <w:tab w:val="clear" w:pos="1080"/>
              </w:tabs>
              <w:jc w:val="right"/>
              <w:rPr>
                <w:b/>
                <w:szCs w:val="22"/>
              </w:rPr>
            </w:pPr>
          </w:p>
        </w:tc>
        <w:tc>
          <w:tcPr>
            <w:tcW w:w="1440" w:type="dxa"/>
            <w:shd w:val="clear" w:color="auto" w:fill="auto"/>
          </w:tcPr>
          <w:p w:rsidR="004B6657" w:rsidRPr="008C2F68" w:rsidRDefault="004B6657" w:rsidP="00EA2834">
            <w:pPr>
              <w:pStyle w:val="BodyText"/>
              <w:tabs>
                <w:tab w:val="clear" w:pos="1080"/>
              </w:tabs>
              <w:jc w:val="right"/>
              <w:rPr>
                <w:b/>
                <w:szCs w:val="22"/>
                <w:lang w:eastAsia="zh-CN"/>
              </w:rPr>
            </w:pPr>
            <w:r w:rsidRPr="008C2F68">
              <w:rPr>
                <w:b/>
                <w:szCs w:val="22"/>
              </w:rPr>
              <w:t>RM</w:t>
            </w:r>
          </w:p>
          <w:p w:rsidR="004B6657" w:rsidRPr="008C2F68" w:rsidRDefault="004B6657" w:rsidP="00EA2834">
            <w:pPr>
              <w:pStyle w:val="BodyText"/>
              <w:tabs>
                <w:tab w:val="clear" w:pos="1080"/>
              </w:tabs>
              <w:jc w:val="right"/>
              <w:rPr>
                <w:b/>
                <w:szCs w:val="22"/>
              </w:rPr>
            </w:pPr>
          </w:p>
        </w:tc>
      </w:tr>
      <w:tr w:rsidR="004B6657" w:rsidRPr="008C2F68" w:rsidTr="009619A3">
        <w:tc>
          <w:tcPr>
            <w:tcW w:w="6858" w:type="dxa"/>
          </w:tcPr>
          <w:p w:rsidR="004B6657" w:rsidRPr="008C2F68" w:rsidRDefault="004B6657" w:rsidP="007576DE">
            <w:pPr>
              <w:pStyle w:val="BodyText"/>
              <w:tabs>
                <w:tab w:val="clear" w:pos="1080"/>
              </w:tabs>
              <w:rPr>
                <w:szCs w:val="22"/>
                <w:lang w:eastAsia="zh-CN"/>
              </w:rPr>
            </w:pPr>
            <w:r w:rsidRPr="008C2F68">
              <w:rPr>
                <w:szCs w:val="22"/>
              </w:rPr>
              <w:t xml:space="preserve">Final </w:t>
            </w:r>
            <w:r w:rsidR="00AA5797" w:rsidRPr="008C2F68">
              <w:rPr>
                <w:szCs w:val="22"/>
              </w:rPr>
              <w:t>single tier</w:t>
            </w:r>
            <w:r w:rsidRPr="008C2F68">
              <w:rPr>
                <w:szCs w:val="22"/>
              </w:rPr>
              <w:t xml:space="preserve"> dividend of 4.00% or RM0.0040 per ordinary share of RM0.10 each in respect of the financial year ended 31 December 2012, which was declared on </w:t>
            </w:r>
            <w:r w:rsidR="007576DE" w:rsidRPr="008C2F68">
              <w:rPr>
                <w:szCs w:val="22"/>
              </w:rPr>
              <w:t>24 April 2013</w:t>
            </w:r>
            <w:r w:rsidRPr="008C2F68">
              <w:rPr>
                <w:szCs w:val="22"/>
              </w:rPr>
              <w:t xml:space="preserve"> and paid on </w:t>
            </w:r>
            <w:r w:rsidRPr="008C2F68">
              <w:rPr>
                <w:rFonts w:hint="eastAsia"/>
                <w:szCs w:val="22"/>
                <w:lang w:eastAsia="zh-CN"/>
              </w:rPr>
              <w:t>1</w:t>
            </w:r>
            <w:r w:rsidRPr="008C2F68">
              <w:rPr>
                <w:szCs w:val="22"/>
                <w:lang w:eastAsia="zh-CN"/>
              </w:rPr>
              <w:t>9</w:t>
            </w:r>
            <w:r w:rsidRPr="008C2F68">
              <w:rPr>
                <w:rFonts w:hint="eastAsia"/>
                <w:szCs w:val="22"/>
                <w:lang w:eastAsia="zh-CN"/>
              </w:rPr>
              <w:t xml:space="preserve"> July 201</w:t>
            </w:r>
            <w:r w:rsidRPr="008C2F68">
              <w:rPr>
                <w:szCs w:val="22"/>
                <w:lang w:eastAsia="zh-CN"/>
              </w:rPr>
              <w:t>3</w:t>
            </w:r>
          </w:p>
        </w:tc>
        <w:tc>
          <w:tcPr>
            <w:tcW w:w="1440" w:type="dxa"/>
            <w:tcBorders>
              <w:bottom w:val="double" w:sz="4" w:space="0" w:color="auto"/>
            </w:tcBorders>
          </w:tcPr>
          <w:p w:rsidR="004B6657" w:rsidRPr="008C2F68" w:rsidRDefault="004B6657" w:rsidP="00EA2834">
            <w:pPr>
              <w:pStyle w:val="BodyText"/>
              <w:tabs>
                <w:tab w:val="clear" w:pos="1080"/>
              </w:tabs>
              <w:jc w:val="right"/>
              <w:rPr>
                <w:szCs w:val="22"/>
              </w:rPr>
            </w:pPr>
          </w:p>
          <w:p w:rsidR="004B6657" w:rsidRPr="008C2F68" w:rsidRDefault="004B6657" w:rsidP="00EA2834">
            <w:pPr>
              <w:pStyle w:val="BodyText"/>
              <w:tabs>
                <w:tab w:val="clear" w:pos="1080"/>
              </w:tabs>
              <w:jc w:val="right"/>
              <w:rPr>
                <w:szCs w:val="22"/>
              </w:rPr>
            </w:pPr>
          </w:p>
          <w:p w:rsidR="004B6657" w:rsidRPr="008C2F68" w:rsidRDefault="004B6657" w:rsidP="00AA5797">
            <w:pPr>
              <w:pStyle w:val="BodyText"/>
              <w:tabs>
                <w:tab w:val="clear" w:pos="1080"/>
              </w:tabs>
              <w:jc w:val="right"/>
              <w:rPr>
                <w:szCs w:val="22"/>
                <w:lang w:eastAsia="zh-CN"/>
              </w:rPr>
            </w:pPr>
            <w:r w:rsidRPr="008C2F68">
              <w:rPr>
                <w:szCs w:val="22"/>
                <w:lang w:eastAsia="zh-CN"/>
              </w:rPr>
              <w:t>1</w:t>
            </w:r>
            <w:r w:rsidRPr="008C2F68">
              <w:rPr>
                <w:rFonts w:hint="eastAsia"/>
                <w:szCs w:val="22"/>
                <w:lang w:eastAsia="zh-CN"/>
              </w:rPr>
              <w:t>,</w:t>
            </w:r>
            <w:r w:rsidRPr="008C2F68">
              <w:rPr>
                <w:szCs w:val="22"/>
                <w:lang w:eastAsia="zh-CN"/>
              </w:rPr>
              <w:t>521</w:t>
            </w:r>
            <w:r w:rsidRPr="008C2F68">
              <w:rPr>
                <w:rFonts w:hint="eastAsia"/>
                <w:szCs w:val="22"/>
                <w:lang w:eastAsia="zh-CN"/>
              </w:rPr>
              <w:t>,4</w:t>
            </w:r>
            <w:r w:rsidRPr="008C2F68">
              <w:rPr>
                <w:szCs w:val="22"/>
                <w:lang w:eastAsia="zh-CN"/>
              </w:rPr>
              <w:t>9</w:t>
            </w:r>
            <w:r w:rsidR="00AA5797" w:rsidRPr="008C2F68">
              <w:rPr>
                <w:szCs w:val="22"/>
                <w:lang w:eastAsia="zh-CN"/>
              </w:rPr>
              <w:t>5</w:t>
            </w:r>
          </w:p>
        </w:tc>
        <w:tc>
          <w:tcPr>
            <w:tcW w:w="1440" w:type="dxa"/>
            <w:shd w:val="clear" w:color="auto" w:fill="auto"/>
          </w:tcPr>
          <w:p w:rsidR="004B6657" w:rsidRPr="008C2F68" w:rsidRDefault="004B6657" w:rsidP="00EA2834">
            <w:pPr>
              <w:pStyle w:val="BodyText"/>
              <w:tabs>
                <w:tab w:val="clear" w:pos="1080"/>
              </w:tabs>
              <w:jc w:val="right"/>
              <w:rPr>
                <w:szCs w:val="22"/>
              </w:rPr>
            </w:pPr>
          </w:p>
        </w:tc>
      </w:tr>
      <w:tr w:rsidR="002E29A8" w:rsidRPr="008C2F68" w:rsidTr="009619A3">
        <w:tc>
          <w:tcPr>
            <w:tcW w:w="6858" w:type="dxa"/>
          </w:tcPr>
          <w:p w:rsidR="002E29A8" w:rsidRPr="008C2F68" w:rsidRDefault="002E29A8" w:rsidP="007576DE">
            <w:pPr>
              <w:pStyle w:val="BodyText"/>
              <w:tabs>
                <w:tab w:val="clear" w:pos="1080"/>
              </w:tabs>
              <w:rPr>
                <w:szCs w:val="22"/>
              </w:rPr>
            </w:pPr>
          </w:p>
          <w:p w:rsidR="002E29A8" w:rsidRPr="008C2F68" w:rsidRDefault="002E29A8" w:rsidP="007576DE">
            <w:pPr>
              <w:pStyle w:val="BodyText"/>
              <w:tabs>
                <w:tab w:val="clear" w:pos="1080"/>
              </w:tabs>
              <w:rPr>
                <w:szCs w:val="22"/>
              </w:rPr>
            </w:pPr>
            <w:r w:rsidRPr="008C2F68">
              <w:rPr>
                <w:szCs w:val="22"/>
              </w:rPr>
              <w:t>Interim dividend:</w:t>
            </w:r>
          </w:p>
        </w:tc>
        <w:tc>
          <w:tcPr>
            <w:tcW w:w="1440" w:type="dxa"/>
            <w:tcBorders>
              <w:top w:val="double" w:sz="4" w:space="0" w:color="auto"/>
            </w:tcBorders>
          </w:tcPr>
          <w:p w:rsidR="002E29A8" w:rsidRPr="008C2F68" w:rsidRDefault="002E29A8" w:rsidP="00EA2834">
            <w:pPr>
              <w:pStyle w:val="BodyText"/>
              <w:tabs>
                <w:tab w:val="clear" w:pos="1080"/>
              </w:tabs>
              <w:jc w:val="right"/>
              <w:rPr>
                <w:szCs w:val="22"/>
              </w:rPr>
            </w:pPr>
          </w:p>
        </w:tc>
        <w:tc>
          <w:tcPr>
            <w:tcW w:w="1440" w:type="dxa"/>
            <w:shd w:val="clear" w:color="auto" w:fill="auto"/>
          </w:tcPr>
          <w:p w:rsidR="002E29A8" w:rsidRPr="008C2F68" w:rsidRDefault="002E29A8" w:rsidP="00EA2834">
            <w:pPr>
              <w:pStyle w:val="BodyText"/>
              <w:tabs>
                <w:tab w:val="clear" w:pos="1080"/>
              </w:tabs>
              <w:jc w:val="right"/>
              <w:rPr>
                <w:szCs w:val="22"/>
              </w:rPr>
            </w:pPr>
          </w:p>
        </w:tc>
      </w:tr>
      <w:tr w:rsidR="002E29A8" w:rsidRPr="008C2F68" w:rsidTr="009619A3">
        <w:tc>
          <w:tcPr>
            <w:tcW w:w="6858" w:type="dxa"/>
          </w:tcPr>
          <w:p w:rsidR="002E29A8" w:rsidRPr="008C2F68" w:rsidRDefault="002E29A8" w:rsidP="001604A0">
            <w:pPr>
              <w:pStyle w:val="BodyText"/>
              <w:tabs>
                <w:tab w:val="clear" w:pos="1080"/>
              </w:tabs>
              <w:rPr>
                <w:szCs w:val="22"/>
              </w:rPr>
            </w:pPr>
            <w:r w:rsidRPr="008C2F68">
              <w:rPr>
                <w:szCs w:val="22"/>
              </w:rPr>
              <w:t xml:space="preserve">Interim </w:t>
            </w:r>
            <w:r w:rsidR="001604A0" w:rsidRPr="008C2F68">
              <w:rPr>
                <w:szCs w:val="22"/>
              </w:rPr>
              <w:t>tax exempt</w:t>
            </w:r>
            <w:r w:rsidRPr="008C2F68">
              <w:rPr>
                <w:szCs w:val="22"/>
              </w:rPr>
              <w:t xml:space="preserve"> dividend of 5.00% or RM0.0050 per ordinary share of RM0.10 each in res</w:t>
            </w:r>
            <w:r w:rsidR="00297FF9" w:rsidRPr="008C2F68">
              <w:rPr>
                <w:szCs w:val="22"/>
              </w:rPr>
              <w:t>pect of the financial year ending</w:t>
            </w:r>
            <w:r w:rsidRPr="008C2F68">
              <w:rPr>
                <w:szCs w:val="22"/>
              </w:rPr>
              <w:t xml:space="preserve"> 31 December 2013, which was declared on 30 September 2013 and paid on 28</w:t>
            </w:r>
            <w:r w:rsidRPr="008C2F68">
              <w:rPr>
                <w:szCs w:val="22"/>
                <w:lang w:eastAsia="zh-CN"/>
              </w:rPr>
              <w:t xml:space="preserve"> October</w:t>
            </w:r>
            <w:r w:rsidRPr="008C2F68">
              <w:rPr>
                <w:rFonts w:hint="eastAsia"/>
                <w:szCs w:val="22"/>
                <w:lang w:eastAsia="zh-CN"/>
              </w:rPr>
              <w:t xml:space="preserve"> 201</w:t>
            </w:r>
            <w:r w:rsidRPr="008C2F68">
              <w:rPr>
                <w:szCs w:val="22"/>
                <w:lang w:eastAsia="zh-CN"/>
              </w:rPr>
              <w:t>3</w:t>
            </w:r>
          </w:p>
        </w:tc>
        <w:tc>
          <w:tcPr>
            <w:tcW w:w="1440" w:type="dxa"/>
            <w:tcBorders>
              <w:bottom w:val="double" w:sz="4" w:space="0" w:color="auto"/>
            </w:tcBorders>
          </w:tcPr>
          <w:p w:rsidR="002E29A8" w:rsidRPr="008C2F68" w:rsidRDefault="002E29A8" w:rsidP="00EA2834">
            <w:pPr>
              <w:pStyle w:val="BodyText"/>
              <w:tabs>
                <w:tab w:val="clear" w:pos="1080"/>
              </w:tabs>
              <w:jc w:val="right"/>
              <w:rPr>
                <w:szCs w:val="22"/>
              </w:rPr>
            </w:pPr>
          </w:p>
          <w:p w:rsidR="008F253C" w:rsidRPr="008C2F68" w:rsidRDefault="008F253C" w:rsidP="00EA2834">
            <w:pPr>
              <w:pStyle w:val="BodyText"/>
              <w:tabs>
                <w:tab w:val="clear" w:pos="1080"/>
              </w:tabs>
              <w:jc w:val="right"/>
              <w:rPr>
                <w:szCs w:val="22"/>
              </w:rPr>
            </w:pPr>
          </w:p>
          <w:p w:rsidR="008F253C" w:rsidRPr="008C2F68" w:rsidRDefault="008F253C" w:rsidP="00EA2834">
            <w:pPr>
              <w:pStyle w:val="BodyText"/>
              <w:tabs>
                <w:tab w:val="clear" w:pos="1080"/>
              </w:tabs>
              <w:jc w:val="right"/>
              <w:rPr>
                <w:szCs w:val="22"/>
              </w:rPr>
            </w:pPr>
            <w:r w:rsidRPr="008C2F68">
              <w:rPr>
                <w:szCs w:val="22"/>
              </w:rPr>
              <w:t>1,901,872</w:t>
            </w:r>
          </w:p>
        </w:tc>
        <w:tc>
          <w:tcPr>
            <w:tcW w:w="1440" w:type="dxa"/>
            <w:shd w:val="clear" w:color="auto" w:fill="auto"/>
          </w:tcPr>
          <w:p w:rsidR="002E29A8" w:rsidRPr="008C2F68" w:rsidRDefault="002E29A8" w:rsidP="00EA2834">
            <w:pPr>
              <w:pStyle w:val="BodyText"/>
              <w:tabs>
                <w:tab w:val="clear" w:pos="1080"/>
              </w:tabs>
              <w:jc w:val="right"/>
              <w:rPr>
                <w:szCs w:val="22"/>
              </w:rPr>
            </w:pPr>
          </w:p>
        </w:tc>
      </w:tr>
      <w:tr w:rsidR="004B6657" w:rsidRPr="008C2F68" w:rsidTr="009619A3">
        <w:tc>
          <w:tcPr>
            <w:tcW w:w="6858" w:type="dxa"/>
          </w:tcPr>
          <w:p w:rsidR="004B6657" w:rsidRPr="008C2F68" w:rsidRDefault="004B6657" w:rsidP="00EA2834">
            <w:pPr>
              <w:pStyle w:val="BodyText"/>
              <w:tabs>
                <w:tab w:val="clear" w:pos="1080"/>
              </w:tabs>
              <w:jc w:val="left"/>
              <w:rPr>
                <w:szCs w:val="22"/>
                <w:lang w:eastAsia="zh-CN"/>
              </w:rPr>
            </w:pPr>
          </w:p>
          <w:p w:rsidR="004B6657" w:rsidRPr="008C2F68" w:rsidRDefault="004B6657" w:rsidP="004269F2">
            <w:pPr>
              <w:pStyle w:val="BodyText"/>
              <w:tabs>
                <w:tab w:val="clear" w:pos="1080"/>
              </w:tabs>
              <w:jc w:val="left"/>
              <w:rPr>
                <w:szCs w:val="22"/>
              </w:rPr>
            </w:pPr>
            <w:r w:rsidRPr="008C2F68">
              <w:rPr>
                <w:szCs w:val="22"/>
                <w:lang w:eastAsia="zh-CN"/>
              </w:rPr>
              <w:t>Final</w:t>
            </w:r>
            <w:r w:rsidRPr="008C2F68">
              <w:rPr>
                <w:rFonts w:hint="eastAsia"/>
                <w:szCs w:val="22"/>
                <w:lang w:eastAsia="zh-CN"/>
              </w:rPr>
              <w:t xml:space="preserve"> dividend</w:t>
            </w:r>
            <w:r w:rsidR="00851342" w:rsidRPr="008C2F68">
              <w:rPr>
                <w:szCs w:val="22"/>
                <w:lang w:eastAsia="zh-CN"/>
              </w:rPr>
              <w:t>:</w:t>
            </w:r>
            <w:r w:rsidR="001551FC" w:rsidRPr="008C2F68">
              <w:rPr>
                <w:szCs w:val="22"/>
                <w:lang w:eastAsia="zh-CN"/>
              </w:rPr>
              <w:t xml:space="preserve"> </w:t>
            </w:r>
          </w:p>
        </w:tc>
        <w:tc>
          <w:tcPr>
            <w:tcW w:w="1440" w:type="dxa"/>
            <w:tcBorders>
              <w:top w:val="double" w:sz="4" w:space="0" w:color="auto"/>
            </w:tcBorders>
          </w:tcPr>
          <w:p w:rsidR="004B6657" w:rsidRPr="008C2F68" w:rsidRDefault="004B6657" w:rsidP="00EA2834">
            <w:pPr>
              <w:pStyle w:val="BodyText"/>
              <w:tabs>
                <w:tab w:val="clear" w:pos="1080"/>
              </w:tabs>
              <w:jc w:val="right"/>
              <w:rPr>
                <w:szCs w:val="22"/>
              </w:rPr>
            </w:pPr>
          </w:p>
        </w:tc>
        <w:tc>
          <w:tcPr>
            <w:tcW w:w="1440" w:type="dxa"/>
            <w:shd w:val="clear" w:color="auto" w:fill="auto"/>
          </w:tcPr>
          <w:p w:rsidR="004B6657" w:rsidRPr="008C2F68" w:rsidRDefault="004B6657" w:rsidP="00EA2834">
            <w:pPr>
              <w:pStyle w:val="BodyText"/>
              <w:tabs>
                <w:tab w:val="clear" w:pos="1080"/>
              </w:tabs>
              <w:jc w:val="right"/>
              <w:rPr>
                <w:szCs w:val="22"/>
              </w:rPr>
            </w:pPr>
          </w:p>
          <w:p w:rsidR="005622B0" w:rsidRPr="008C2F68" w:rsidRDefault="005622B0" w:rsidP="00EA2834">
            <w:pPr>
              <w:pStyle w:val="BodyText"/>
              <w:tabs>
                <w:tab w:val="clear" w:pos="1080"/>
              </w:tabs>
              <w:jc w:val="right"/>
              <w:rPr>
                <w:szCs w:val="22"/>
              </w:rPr>
            </w:pPr>
          </w:p>
        </w:tc>
      </w:tr>
      <w:tr w:rsidR="004B6657" w:rsidRPr="008C2F68" w:rsidTr="009619A3">
        <w:tc>
          <w:tcPr>
            <w:tcW w:w="6858" w:type="dxa"/>
          </w:tcPr>
          <w:p w:rsidR="004B6657" w:rsidRPr="008C2F68" w:rsidRDefault="004B6657" w:rsidP="00EA2834">
            <w:pPr>
              <w:pStyle w:val="BodyText"/>
              <w:tabs>
                <w:tab w:val="clear" w:pos="1080"/>
              </w:tabs>
              <w:rPr>
                <w:szCs w:val="22"/>
                <w:lang w:eastAsia="zh-CN"/>
              </w:rPr>
            </w:pPr>
            <w:r w:rsidRPr="008C2F68">
              <w:rPr>
                <w:szCs w:val="22"/>
              </w:rPr>
              <w:t xml:space="preserve">Final tax exempt dividend of </w:t>
            </w:r>
            <w:r w:rsidRPr="008C2F68">
              <w:rPr>
                <w:rFonts w:hint="eastAsia"/>
                <w:szCs w:val="22"/>
                <w:lang w:eastAsia="zh-CN"/>
              </w:rPr>
              <w:t>6</w:t>
            </w:r>
            <w:r w:rsidRPr="008C2F68">
              <w:rPr>
                <w:szCs w:val="22"/>
              </w:rPr>
              <w:t>.50% or RM0.00</w:t>
            </w:r>
            <w:r w:rsidRPr="008C2F68">
              <w:rPr>
                <w:rFonts w:hint="eastAsia"/>
                <w:szCs w:val="22"/>
                <w:lang w:eastAsia="zh-CN"/>
              </w:rPr>
              <w:t>6</w:t>
            </w:r>
            <w:r w:rsidRPr="008C2F68">
              <w:rPr>
                <w:szCs w:val="22"/>
              </w:rPr>
              <w:t xml:space="preserve">5 per ordinary share of RM0.10 each in respect of the financial year ended 31 December 2011, which was declared on </w:t>
            </w:r>
            <w:r w:rsidRPr="008C2F68">
              <w:rPr>
                <w:rFonts w:hint="eastAsia"/>
                <w:szCs w:val="22"/>
                <w:lang w:eastAsia="zh-CN"/>
              </w:rPr>
              <w:t>24 April 2012</w:t>
            </w:r>
            <w:r w:rsidRPr="008C2F68">
              <w:rPr>
                <w:szCs w:val="22"/>
              </w:rPr>
              <w:t xml:space="preserve"> and paid on </w:t>
            </w:r>
            <w:r w:rsidRPr="008C2F68">
              <w:rPr>
                <w:rFonts w:hint="eastAsia"/>
                <w:szCs w:val="22"/>
                <w:lang w:eastAsia="zh-CN"/>
              </w:rPr>
              <w:t>18 July 2012</w:t>
            </w:r>
          </w:p>
        </w:tc>
        <w:tc>
          <w:tcPr>
            <w:tcW w:w="1440" w:type="dxa"/>
          </w:tcPr>
          <w:p w:rsidR="004B6657" w:rsidRPr="008C2F68" w:rsidRDefault="004B6657" w:rsidP="00EA2834">
            <w:pPr>
              <w:pStyle w:val="BodyText"/>
              <w:tabs>
                <w:tab w:val="clear" w:pos="1080"/>
              </w:tabs>
              <w:jc w:val="right"/>
              <w:rPr>
                <w:szCs w:val="22"/>
              </w:rPr>
            </w:pPr>
          </w:p>
        </w:tc>
        <w:tc>
          <w:tcPr>
            <w:tcW w:w="1440" w:type="dxa"/>
            <w:tcBorders>
              <w:bottom w:val="double" w:sz="4" w:space="0" w:color="auto"/>
            </w:tcBorders>
            <w:shd w:val="clear" w:color="auto" w:fill="auto"/>
          </w:tcPr>
          <w:p w:rsidR="004B6657" w:rsidRPr="008C2F68" w:rsidRDefault="004B6657" w:rsidP="00EA2834">
            <w:pPr>
              <w:pStyle w:val="BodyText"/>
              <w:tabs>
                <w:tab w:val="clear" w:pos="1080"/>
              </w:tabs>
              <w:jc w:val="right"/>
              <w:rPr>
                <w:szCs w:val="22"/>
              </w:rPr>
            </w:pPr>
          </w:p>
          <w:p w:rsidR="004B6657" w:rsidRPr="008C2F68" w:rsidRDefault="004B6657" w:rsidP="00EA2834">
            <w:pPr>
              <w:pStyle w:val="BodyText"/>
              <w:tabs>
                <w:tab w:val="clear" w:pos="1080"/>
              </w:tabs>
              <w:jc w:val="right"/>
              <w:rPr>
                <w:szCs w:val="22"/>
              </w:rPr>
            </w:pPr>
          </w:p>
          <w:p w:rsidR="004B6657" w:rsidRPr="008C2F68" w:rsidRDefault="004B6657" w:rsidP="00EA2834">
            <w:pPr>
              <w:pStyle w:val="BodyText"/>
              <w:tabs>
                <w:tab w:val="clear" w:pos="1080"/>
              </w:tabs>
              <w:jc w:val="right"/>
              <w:rPr>
                <w:szCs w:val="22"/>
                <w:lang w:eastAsia="zh-CN"/>
              </w:rPr>
            </w:pPr>
            <w:r w:rsidRPr="008C2F68">
              <w:rPr>
                <w:szCs w:val="22"/>
                <w:lang w:eastAsia="zh-CN"/>
              </w:rPr>
              <w:t>2,472,431</w:t>
            </w:r>
          </w:p>
        </w:tc>
      </w:tr>
      <w:tr w:rsidR="00DB4494" w:rsidRPr="008C2F68" w:rsidTr="009619A3">
        <w:tc>
          <w:tcPr>
            <w:tcW w:w="6858" w:type="dxa"/>
          </w:tcPr>
          <w:p w:rsidR="00DB4494" w:rsidRPr="008C2F68" w:rsidRDefault="00DB4494" w:rsidP="00EA2834">
            <w:pPr>
              <w:pStyle w:val="BodyText"/>
              <w:tabs>
                <w:tab w:val="clear" w:pos="1080"/>
              </w:tabs>
              <w:rPr>
                <w:szCs w:val="22"/>
              </w:rPr>
            </w:pPr>
          </w:p>
          <w:p w:rsidR="00DB4494" w:rsidRPr="008C2F68" w:rsidRDefault="00DB4494" w:rsidP="00EA2834">
            <w:pPr>
              <w:pStyle w:val="BodyText"/>
              <w:tabs>
                <w:tab w:val="clear" w:pos="1080"/>
              </w:tabs>
              <w:rPr>
                <w:szCs w:val="22"/>
              </w:rPr>
            </w:pPr>
            <w:r w:rsidRPr="008C2F68">
              <w:rPr>
                <w:szCs w:val="22"/>
              </w:rPr>
              <w:t>Interim dividend:</w:t>
            </w:r>
          </w:p>
        </w:tc>
        <w:tc>
          <w:tcPr>
            <w:tcW w:w="1440" w:type="dxa"/>
          </w:tcPr>
          <w:p w:rsidR="00DB4494" w:rsidRPr="008C2F68" w:rsidRDefault="00DB4494" w:rsidP="00EA2834">
            <w:pPr>
              <w:pStyle w:val="BodyText"/>
              <w:tabs>
                <w:tab w:val="clear" w:pos="1080"/>
              </w:tabs>
              <w:jc w:val="right"/>
              <w:rPr>
                <w:szCs w:val="22"/>
              </w:rPr>
            </w:pPr>
          </w:p>
        </w:tc>
        <w:tc>
          <w:tcPr>
            <w:tcW w:w="1440" w:type="dxa"/>
            <w:tcBorders>
              <w:top w:val="double" w:sz="4" w:space="0" w:color="auto"/>
            </w:tcBorders>
            <w:shd w:val="clear" w:color="auto" w:fill="auto"/>
          </w:tcPr>
          <w:p w:rsidR="00DB4494" w:rsidRPr="008C2F68" w:rsidRDefault="00DB4494" w:rsidP="00EA2834">
            <w:pPr>
              <w:pStyle w:val="BodyText"/>
              <w:tabs>
                <w:tab w:val="clear" w:pos="1080"/>
              </w:tabs>
              <w:jc w:val="right"/>
              <w:rPr>
                <w:szCs w:val="22"/>
              </w:rPr>
            </w:pPr>
          </w:p>
          <w:p w:rsidR="00DB4494" w:rsidRPr="008C2F68" w:rsidRDefault="00DB4494" w:rsidP="00DB4494">
            <w:pPr>
              <w:pStyle w:val="BodyText"/>
              <w:tabs>
                <w:tab w:val="clear" w:pos="1080"/>
              </w:tabs>
              <w:jc w:val="right"/>
              <w:rPr>
                <w:szCs w:val="22"/>
              </w:rPr>
            </w:pPr>
          </w:p>
        </w:tc>
      </w:tr>
      <w:tr w:rsidR="00DB4494" w:rsidRPr="008C2F68" w:rsidTr="009619A3">
        <w:tc>
          <w:tcPr>
            <w:tcW w:w="6858" w:type="dxa"/>
          </w:tcPr>
          <w:p w:rsidR="00DB4494" w:rsidRPr="008C2F68" w:rsidRDefault="00DB4494" w:rsidP="00DB4494">
            <w:pPr>
              <w:pStyle w:val="BodyText"/>
              <w:tabs>
                <w:tab w:val="clear" w:pos="1080"/>
              </w:tabs>
              <w:rPr>
                <w:szCs w:val="22"/>
              </w:rPr>
            </w:pPr>
            <w:r w:rsidRPr="008C2F68">
              <w:rPr>
                <w:szCs w:val="22"/>
              </w:rPr>
              <w:t xml:space="preserve">Interim single tier dividend of 5.00% or RM0.0050 per ordinary share of RM0.10 each in respect of the financial year ended 31 December 2012, which was declared on 3 September 2012 and paid on </w:t>
            </w:r>
            <w:r w:rsidRPr="008C2F68">
              <w:rPr>
                <w:rFonts w:hint="eastAsia"/>
                <w:szCs w:val="22"/>
                <w:lang w:eastAsia="zh-CN"/>
              </w:rPr>
              <w:t>1</w:t>
            </w:r>
            <w:r w:rsidRPr="008C2F68">
              <w:rPr>
                <w:szCs w:val="22"/>
                <w:lang w:eastAsia="zh-CN"/>
              </w:rPr>
              <w:t>0 October</w:t>
            </w:r>
            <w:r w:rsidRPr="008C2F68">
              <w:rPr>
                <w:rFonts w:hint="eastAsia"/>
                <w:szCs w:val="22"/>
                <w:lang w:eastAsia="zh-CN"/>
              </w:rPr>
              <w:t xml:space="preserve"> 2012</w:t>
            </w:r>
          </w:p>
        </w:tc>
        <w:tc>
          <w:tcPr>
            <w:tcW w:w="1440" w:type="dxa"/>
          </w:tcPr>
          <w:p w:rsidR="00DB4494" w:rsidRPr="008C2F68" w:rsidRDefault="00DB4494" w:rsidP="00EA2834">
            <w:pPr>
              <w:pStyle w:val="BodyText"/>
              <w:tabs>
                <w:tab w:val="clear" w:pos="1080"/>
              </w:tabs>
              <w:jc w:val="right"/>
              <w:rPr>
                <w:szCs w:val="22"/>
              </w:rPr>
            </w:pPr>
          </w:p>
        </w:tc>
        <w:tc>
          <w:tcPr>
            <w:tcW w:w="1440" w:type="dxa"/>
            <w:tcBorders>
              <w:bottom w:val="double" w:sz="4" w:space="0" w:color="auto"/>
            </w:tcBorders>
            <w:shd w:val="clear" w:color="auto" w:fill="auto"/>
          </w:tcPr>
          <w:p w:rsidR="00DB4494" w:rsidRPr="008C2F68" w:rsidRDefault="00DB4494" w:rsidP="00EA2834">
            <w:pPr>
              <w:pStyle w:val="BodyText"/>
              <w:tabs>
                <w:tab w:val="clear" w:pos="1080"/>
              </w:tabs>
              <w:jc w:val="right"/>
              <w:rPr>
                <w:szCs w:val="22"/>
              </w:rPr>
            </w:pPr>
          </w:p>
          <w:p w:rsidR="00DB4494" w:rsidRPr="008C2F68" w:rsidRDefault="00DB4494" w:rsidP="00EA2834">
            <w:pPr>
              <w:pStyle w:val="BodyText"/>
              <w:tabs>
                <w:tab w:val="clear" w:pos="1080"/>
              </w:tabs>
              <w:jc w:val="right"/>
              <w:rPr>
                <w:szCs w:val="22"/>
              </w:rPr>
            </w:pPr>
          </w:p>
          <w:p w:rsidR="00DB4494" w:rsidRPr="008C2F68" w:rsidRDefault="00DB4494" w:rsidP="00EA2834">
            <w:pPr>
              <w:pStyle w:val="BodyText"/>
              <w:tabs>
                <w:tab w:val="clear" w:pos="1080"/>
              </w:tabs>
              <w:jc w:val="right"/>
              <w:rPr>
                <w:szCs w:val="22"/>
              </w:rPr>
            </w:pPr>
            <w:r w:rsidRPr="008C2F68">
              <w:rPr>
                <w:szCs w:val="22"/>
              </w:rPr>
              <w:t>1,901,872</w:t>
            </w:r>
          </w:p>
        </w:tc>
      </w:tr>
    </w:tbl>
    <w:p w:rsidR="004B6657" w:rsidRPr="008C2F68" w:rsidRDefault="004B6657" w:rsidP="0095432E">
      <w:pPr>
        <w:pStyle w:val="BodyText"/>
        <w:ind w:left="720"/>
        <w:rPr>
          <w:bCs/>
          <w:szCs w:val="22"/>
          <w:lang w:eastAsia="zh-CN"/>
        </w:rPr>
      </w:pPr>
    </w:p>
    <w:p w:rsidR="00B05240" w:rsidRPr="008C2F68" w:rsidRDefault="00B05240">
      <w:pPr>
        <w:tabs>
          <w:tab w:val="clear" w:pos="720"/>
          <w:tab w:val="clear" w:pos="1440"/>
        </w:tabs>
        <w:rPr>
          <w:bCs/>
          <w:szCs w:val="22"/>
          <w:lang w:eastAsia="zh-CN"/>
        </w:rPr>
      </w:pPr>
      <w:r w:rsidRPr="008C2F68">
        <w:rPr>
          <w:bCs/>
          <w:szCs w:val="22"/>
          <w:lang w:eastAsia="zh-CN"/>
        </w:rPr>
        <w:br w:type="page"/>
      </w:r>
    </w:p>
    <w:p w:rsidR="00FA6A16" w:rsidRPr="008C2F68" w:rsidRDefault="00FA6A16" w:rsidP="002720B0">
      <w:pPr>
        <w:rPr>
          <w:szCs w:val="22"/>
          <w:lang w:eastAsia="zh-CN"/>
        </w:rPr>
      </w:pPr>
    </w:p>
    <w:p w:rsidR="00541004" w:rsidRPr="008C2F68" w:rsidRDefault="00E75F61" w:rsidP="00E56779">
      <w:pPr>
        <w:pStyle w:val="BodyText"/>
        <w:numPr>
          <w:ilvl w:val="0"/>
          <w:numId w:val="6"/>
        </w:numPr>
        <w:tabs>
          <w:tab w:val="clear" w:pos="1080"/>
          <w:tab w:val="clear" w:pos="1440"/>
        </w:tabs>
        <w:ind w:left="720" w:hanging="720"/>
        <w:rPr>
          <w:b/>
          <w:bCs/>
          <w:szCs w:val="22"/>
        </w:rPr>
      </w:pPr>
      <w:r w:rsidRPr="008C2F68">
        <w:rPr>
          <w:rFonts w:hint="eastAsia"/>
          <w:b/>
          <w:bCs/>
          <w:szCs w:val="22"/>
          <w:lang w:eastAsia="zh-CN"/>
        </w:rPr>
        <w:t>S</w:t>
      </w:r>
      <w:r w:rsidR="00541004" w:rsidRPr="008C2F68">
        <w:rPr>
          <w:b/>
          <w:bCs/>
          <w:szCs w:val="22"/>
        </w:rPr>
        <w:t>egmental Reporting</w:t>
      </w:r>
    </w:p>
    <w:p w:rsidR="00A912DB" w:rsidRPr="008C2F68" w:rsidRDefault="00A912DB" w:rsidP="00A912DB">
      <w:pPr>
        <w:pStyle w:val="bodytest"/>
        <w:keepNext w:val="0"/>
        <w:outlineLvl w:val="9"/>
        <w:rPr>
          <w:szCs w:val="22"/>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65A6C" w:rsidRPr="008C2F68" w:rsidRDefault="00065A6C" w:rsidP="00AD4592">
      <w:pPr>
        <w:pStyle w:val="bodytest"/>
        <w:keepNext w:val="0"/>
        <w:outlineLvl w:val="9"/>
        <w:rPr>
          <w:szCs w:val="22"/>
          <w:lang w:eastAsia="zh-CN"/>
        </w:rPr>
      </w:pPr>
    </w:p>
    <w:p w:rsidR="00E157C0" w:rsidRPr="008C2F68" w:rsidRDefault="001575ED" w:rsidP="00E157C0">
      <w:pPr>
        <w:pStyle w:val="bodytest"/>
        <w:keepNext w:val="0"/>
        <w:outlineLvl w:val="9"/>
        <w:rPr>
          <w:b/>
          <w:szCs w:val="22"/>
          <w:u w:val="single"/>
          <w:lang w:eastAsia="zh-CN"/>
        </w:rPr>
      </w:pPr>
      <w:r w:rsidRPr="008C2F68">
        <w:rPr>
          <w:rFonts w:hint="eastAsia"/>
          <w:b/>
          <w:szCs w:val="22"/>
          <w:u w:val="single"/>
          <w:lang w:eastAsia="zh-CN"/>
        </w:rPr>
        <w:t>3</w:t>
      </w:r>
      <w:r w:rsidR="00E157C0" w:rsidRPr="008C2F68">
        <w:rPr>
          <w:rFonts w:hint="eastAsia"/>
          <w:b/>
          <w:szCs w:val="22"/>
          <w:u w:val="single"/>
          <w:lang w:eastAsia="zh-CN"/>
        </w:rPr>
        <w:t xml:space="preserve"> months ended 3</w:t>
      </w:r>
      <w:r w:rsidR="00353FF8" w:rsidRPr="008C2F68">
        <w:rPr>
          <w:b/>
          <w:szCs w:val="22"/>
          <w:u w:val="single"/>
          <w:lang w:eastAsia="zh-CN"/>
        </w:rPr>
        <w:t>0</w:t>
      </w:r>
      <w:r w:rsidR="00E157C0" w:rsidRPr="008C2F68">
        <w:rPr>
          <w:rFonts w:hint="eastAsia"/>
          <w:b/>
          <w:szCs w:val="22"/>
          <w:u w:val="single"/>
          <w:lang w:eastAsia="zh-CN"/>
        </w:rPr>
        <w:t xml:space="preserve"> </w:t>
      </w:r>
      <w:r w:rsidR="003E45B1" w:rsidRPr="008C2F68">
        <w:rPr>
          <w:b/>
          <w:szCs w:val="22"/>
          <w:u w:val="single"/>
          <w:lang w:eastAsia="zh-CN"/>
        </w:rPr>
        <w:t>September</w:t>
      </w:r>
      <w:r w:rsidR="00E157C0" w:rsidRPr="008C2F68">
        <w:rPr>
          <w:rFonts w:hint="eastAsia"/>
          <w:b/>
          <w:szCs w:val="22"/>
          <w:u w:val="single"/>
          <w:lang w:eastAsia="zh-CN"/>
        </w:rPr>
        <w:t xml:space="preserve"> 201</w:t>
      </w:r>
      <w:r w:rsidR="00704EF8" w:rsidRPr="008C2F68">
        <w:rPr>
          <w:b/>
          <w:szCs w:val="22"/>
          <w:u w:val="single"/>
          <w:lang w:eastAsia="zh-CN"/>
        </w:rPr>
        <w:t>3</w:t>
      </w:r>
    </w:p>
    <w:p w:rsidR="00E157C0" w:rsidRPr="008C2F68" w:rsidRDefault="00E157C0" w:rsidP="00AD4592">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1575ED" w:rsidRPr="008C2F68" w:rsidTr="00006531">
        <w:trPr>
          <w:gridAfter w:val="1"/>
          <w:wAfter w:w="89" w:type="dxa"/>
        </w:trPr>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Manufacturing of Polymeric product</w:t>
            </w:r>
          </w:p>
        </w:tc>
        <w:tc>
          <w:tcPr>
            <w:tcW w:w="1693" w:type="dxa"/>
          </w:tcPr>
          <w:p w:rsidR="001575ED" w:rsidRPr="008C2F68" w:rsidRDefault="001575ED" w:rsidP="007D63EE">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product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006531">
        <w:trPr>
          <w:gridAfter w:val="1"/>
          <w:wAfter w:w="89" w:type="dxa"/>
        </w:trPr>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006531">
        <w:trPr>
          <w:gridAfter w:val="1"/>
          <w:wAfter w:w="89" w:type="dxa"/>
        </w:trPr>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1575ED" w:rsidP="007D63EE">
            <w:pPr>
              <w:jc w:val="right"/>
              <w:rPr>
                <w:szCs w:val="22"/>
              </w:rPr>
            </w:pP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8C2F68" w:rsidTr="00006531">
        <w:trPr>
          <w:gridAfter w:val="1"/>
          <w:wAfter w:w="89" w:type="dxa"/>
        </w:trPr>
        <w:tc>
          <w:tcPr>
            <w:tcW w:w="2679" w:type="dxa"/>
            <w:gridSpan w:val="2"/>
          </w:tcPr>
          <w:p w:rsidR="001575ED" w:rsidRPr="008C2F68" w:rsidRDefault="001575ED" w:rsidP="001575ED">
            <w:pPr>
              <w:rPr>
                <w:szCs w:val="22"/>
                <w:lang w:eastAsia="zh-CN"/>
              </w:rPr>
            </w:pPr>
            <w:r w:rsidRPr="008C2F68">
              <w:rPr>
                <w:rFonts w:hint="eastAsia"/>
                <w:szCs w:val="22"/>
                <w:lang w:eastAsia="zh-CN"/>
              </w:rPr>
              <w:t>Sales (Gross)</w:t>
            </w:r>
          </w:p>
        </w:tc>
        <w:tc>
          <w:tcPr>
            <w:tcW w:w="1371" w:type="dxa"/>
          </w:tcPr>
          <w:p w:rsidR="001575ED" w:rsidRPr="008C2F68" w:rsidRDefault="003E45B1" w:rsidP="007F7D22">
            <w:pPr>
              <w:tabs>
                <w:tab w:val="clear" w:pos="720"/>
                <w:tab w:val="clear" w:pos="1440"/>
                <w:tab w:val="decimal" w:pos="1083"/>
              </w:tabs>
              <w:jc w:val="both"/>
              <w:rPr>
                <w:szCs w:val="22"/>
                <w:lang w:eastAsia="zh-CN"/>
              </w:rPr>
            </w:pPr>
            <w:r w:rsidRPr="008C2F68">
              <w:rPr>
                <w:szCs w:val="22"/>
                <w:lang w:eastAsia="zh-CN"/>
              </w:rPr>
              <w:t>2,355</w:t>
            </w:r>
          </w:p>
        </w:tc>
        <w:tc>
          <w:tcPr>
            <w:tcW w:w="1653" w:type="dxa"/>
          </w:tcPr>
          <w:p w:rsidR="001575ED" w:rsidRPr="008C2F68" w:rsidRDefault="00542E15" w:rsidP="007F7D22">
            <w:pPr>
              <w:tabs>
                <w:tab w:val="clear" w:pos="720"/>
                <w:tab w:val="clear" w:pos="1440"/>
                <w:tab w:val="decimal" w:pos="1332"/>
              </w:tabs>
              <w:jc w:val="both"/>
              <w:rPr>
                <w:szCs w:val="22"/>
                <w:lang w:eastAsia="zh-CN"/>
              </w:rPr>
            </w:pPr>
            <w:r w:rsidRPr="008C2F68">
              <w:rPr>
                <w:szCs w:val="22"/>
                <w:lang w:eastAsia="zh-CN"/>
              </w:rPr>
              <w:t>3</w:t>
            </w:r>
            <w:r w:rsidR="009B0C65" w:rsidRPr="008C2F68">
              <w:rPr>
                <w:szCs w:val="22"/>
                <w:lang w:eastAsia="zh-CN"/>
              </w:rPr>
              <w:t>1,942</w:t>
            </w:r>
          </w:p>
        </w:tc>
        <w:tc>
          <w:tcPr>
            <w:tcW w:w="1693" w:type="dxa"/>
          </w:tcPr>
          <w:p w:rsidR="001575ED" w:rsidRPr="008C2F68" w:rsidRDefault="005963E5" w:rsidP="005963E5">
            <w:pPr>
              <w:tabs>
                <w:tab w:val="clear" w:pos="720"/>
                <w:tab w:val="clear" w:pos="1440"/>
                <w:tab w:val="decimal" w:pos="1389"/>
              </w:tabs>
              <w:ind w:right="-2"/>
              <w:jc w:val="both"/>
              <w:rPr>
                <w:szCs w:val="22"/>
                <w:lang w:eastAsia="zh-CN"/>
              </w:rPr>
            </w:pPr>
            <w:r w:rsidRPr="008C2F68">
              <w:rPr>
                <w:szCs w:val="22"/>
                <w:lang w:eastAsia="zh-CN"/>
              </w:rPr>
              <w:t>2,384</w:t>
            </w:r>
          </w:p>
        </w:tc>
        <w:tc>
          <w:tcPr>
            <w:tcW w:w="1334" w:type="dxa"/>
          </w:tcPr>
          <w:p w:rsidR="001575ED" w:rsidRPr="008C2F68" w:rsidRDefault="005963E5" w:rsidP="0026443F">
            <w:pPr>
              <w:tabs>
                <w:tab w:val="clear" w:pos="720"/>
                <w:tab w:val="clear" w:pos="1440"/>
                <w:tab w:val="decimal" w:pos="1062"/>
              </w:tabs>
              <w:jc w:val="both"/>
              <w:rPr>
                <w:szCs w:val="22"/>
                <w:lang w:eastAsia="zh-CN"/>
              </w:rPr>
            </w:pPr>
            <w:r w:rsidRPr="008C2F68">
              <w:rPr>
                <w:szCs w:val="22"/>
                <w:lang w:eastAsia="zh-CN"/>
              </w:rPr>
              <w:t>36,681</w:t>
            </w:r>
          </w:p>
        </w:tc>
      </w:tr>
      <w:tr w:rsidR="001575ED" w:rsidRPr="008C2F68" w:rsidTr="00006531">
        <w:trPr>
          <w:gridAfter w:val="1"/>
          <w:wAfter w:w="89" w:type="dxa"/>
        </w:trPr>
        <w:tc>
          <w:tcPr>
            <w:tcW w:w="2679" w:type="dxa"/>
            <w:gridSpan w:val="2"/>
          </w:tcPr>
          <w:p w:rsidR="001575ED" w:rsidRPr="008C2F68" w:rsidRDefault="001575ED" w:rsidP="007D63EE">
            <w:pPr>
              <w:rPr>
                <w:szCs w:val="22"/>
              </w:rPr>
            </w:pPr>
            <w:r w:rsidRPr="008C2F68">
              <w:rPr>
                <w:szCs w:val="22"/>
              </w:rPr>
              <w:t>Inter-segment sales</w:t>
            </w:r>
          </w:p>
        </w:tc>
        <w:tc>
          <w:tcPr>
            <w:tcW w:w="1371" w:type="dxa"/>
            <w:tcBorders>
              <w:bottom w:val="single" w:sz="4" w:space="0" w:color="auto"/>
            </w:tcBorders>
          </w:tcPr>
          <w:p w:rsidR="001575ED" w:rsidRPr="008C2F68" w:rsidRDefault="003E45B1" w:rsidP="007F7D22">
            <w:pPr>
              <w:tabs>
                <w:tab w:val="clear" w:pos="720"/>
                <w:tab w:val="clear" w:pos="1440"/>
                <w:tab w:val="decimal" w:pos="1083"/>
              </w:tabs>
              <w:jc w:val="both"/>
              <w:rPr>
                <w:szCs w:val="22"/>
                <w:lang w:eastAsia="zh-CN"/>
              </w:rPr>
            </w:pPr>
            <w:r w:rsidRPr="008C2F68">
              <w:rPr>
                <w:szCs w:val="22"/>
                <w:lang w:eastAsia="zh-CN"/>
              </w:rPr>
              <w:t>(2,346</w:t>
            </w:r>
            <w:r w:rsidR="00542E15" w:rsidRPr="008C2F68">
              <w:rPr>
                <w:szCs w:val="22"/>
                <w:lang w:eastAsia="zh-CN"/>
              </w:rPr>
              <w:t>)</w:t>
            </w:r>
          </w:p>
        </w:tc>
        <w:tc>
          <w:tcPr>
            <w:tcW w:w="1653" w:type="dxa"/>
            <w:tcBorders>
              <w:bottom w:val="single" w:sz="4" w:space="0" w:color="auto"/>
            </w:tcBorders>
          </w:tcPr>
          <w:p w:rsidR="001575ED" w:rsidRPr="008C2F68" w:rsidRDefault="00542E15" w:rsidP="005963E5">
            <w:pPr>
              <w:tabs>
                <w:tab w:val="clear" w:pos="720"/>
                <w:tab w:val="clear" w:pos="1440"/>
                <w:tab w:val="decimal" w:pos="1332"/>
              </w:tabs>
              <w:jc w:val="both"/>
              <w:rPr>
                <w:szCs w:val="22"/>
                <w:lang w:eastAsia="zh-CN"/>
              </w:rPr>
            </w:pPr>
            <w:r w:rsidRPr="008C2F68">
              <w:rPr>
                <w:szCs w:val="22"/>
                <w:lang w:eastAsia="zh-CN"/>
              </w:rPr>
              <w:t>(2,</w:t>
            </w:r>
            <w:r w:rsidR="005963E5" w:rsidRPr="008C2F68">
              <w:rPr>
                <w:szCs w:val="22"/>
                <w:lang w:eastAsia="zh-CN"/>
              </w:rPr>
              <w:t>206</w:t>
            </w:r>
            <w:r w:rsidRPr="008C2F68">
              <w:rPr>
                <w:szCs w:val="22"/>
                <w:lang w:eastAsia="zh-CN"/>
              </w:rPr>
              <w:t>)</w:t>
            </w:r>
          </w:p>
        </w:tc>
        <w:tc>
          <w:tcPr>
            <w:tcW w:w="1693" w:type="dxa"/>
            <w:tcBorders>
              <w:bottom w:val="single" w:sz="4" w:space="0" w:color="auto"/>
            </w:tcBorders>
          </w:tcPr>
          <w:p w:rsidR="001575ED" w:rsidRPr="008C2F68" w:rsidRDefault="00542E15" w:rsidP="007F7D22">
            <w:pPr>
              <w:tabs>
                <w:tab w:val="clear" w:pos="720"/>
                <w:tab w:val="clear" w:pos="1440"/>
                <w:tab w:val="decimal" w:pos="1389"/>
              </w:tabs>
              <w:ind w:right="-2"/>
              <w:jc w:val="both"/>
              <w:rPr>
                <w:szCs w:val="22"/>
                <w:lang w:eastAsia="zh-CN"/>
              </w:rPr>
            </w:pPr>
            <w:r w:rsidRPr="008C2F68">
              <w:rPr>
                <w:szCs w:val="22"/>
                <w:lang w:eastAsia="zh-CN"/>
              </w:rPr>
              <w:t>-</w:t>
            </w:r>
          </w:p>
        </w:tc>
        <w:tc>
          <w:tcPr>
            <w:tcW w:w="1334" w:type="dxa"/>
            <w:tcBorders>
              <w:bottom w:val="single" w:sz="4" w:space="0" w:color="auto"/>
            </w:tcBorders>
          </w:tcPr>
          <w:p w:rsidR="001575ED" w:rsidRPr="008C2F68" w:rsidRDefault="005963E5" w:rsidP="0026443F">
            <w:pPr>
              <w:tabs>
                <w:tab w:val="clear" w:pos="720"/>
                <w:tab w:val="clear" w:pos="1440"/>
                <w:tab w:val="decimal" w:pos="1062"/>
              </w:tabs>
              <w:jc w:val="both"/>
              <w:rPr>
                <w:szCs w:val="22"/>
                <w:lang w:eastAsia="zh-CN"/>
              </w:rPr>
            </w:pPr>
            <w:r w:rsidRPr="008C2F68">
              <w:rPr>
                <w:szCs w:val="22"/>
                <w:lang w:eastAsia="zh-CN"/>
              </w:rPr>
              <w:t>(4,552</w:t>
            </w:r>
            <w:r w:rsidR="00542E15" w:rsidRPr="008C2F68">
              <w:rPr>
                <w:szCs w:val="22"/>
                <w:lang w:eastAsia="zh-CN"/>
              </w:rPr>
              <w:t>)</w:t>
            </w:r>
          </w:p>
        </w:tc>
      </w:tr>
      <w:tr w:rsidR="001575ED" w:rsidRPr="008C2F68" w:rsidTr="00006531">
        <w:trPr>
          <w:gridAfter w:val="1"/>
          <w:wAfter w:w="89" w:type="dxa"/>
        </w:trPr>
        <w:tc>
          <w:tcPr>
            <w:tcW w:w="2679" w:type="dxa"/>
            <w:gridSpan w:val="2"/>
          </w:tcPr>
          <w:p w:rsidR="001575ED" w:rsidRPr="008C2F68" w:rsidRDefault="001575ED" w:rsidP="007D63EE">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1575ED" w:rsidRPr="008C2F68" w:rsidRDefault="005963E5" w:rsidP="007F7D22">
            <w:pPr>
              <w:tabs>
                <w:tab w:val="clear" w:pos="720"/>
                <w:tab w:val="clear" w:pos="1440"/>
                <w:tab w:val="decimal" w:pos="1083"/>
              </w:tabs>
              <w:jc w:val="both"/>
              <w:rPr>
                <w:szCs w:val="22"/>
                <w:lang w:eastAsia="zh-CN"/>
              </w:rPr>
            </w:pPr>
            <w:r w:rsidRPr="008C2F68">
              <w:rPr>
                <w:szCs w:val="22"/>
                <w:lang w:eastAsia="zh-CN"/>
              </w:rPr>
              <w:t>9</w:t>
            </w:r>
          </w:p>
        </w:tc>
        <w:tc>
          <w:tcPr>
            <w:tcW w:w="1653" w:type="dxa"/>
            <w:tcBorders>
              <w:top w:val="single" w:sz="4" w:space="0" w:color="auto"/>
            </w:tcBorders>
          </w:tcPr>
          <w:p w:rsidR="001575ED" w:rsidRPr="008C2F68" w:rsidRDefault="00542E15" w:rsidP="007F7D22">
            <w:pPr>
              <w:tabs>
                <w:tab w:val="clear" w:pos="720"/>
                <w:tab w:val="clear" w:pos="1440"/>
                <w:tab w:val="decimal" w:pos="1332"/>
              </w:tabs>
              <w:jc w:val="both"/>
              <w:rPr>
                <w:szCs w:val="22"/>
                <w:lang w:eastAsia="zh-CN"/>
              </w:rPr>
            </w:pPr>
            <w:r w:rsidRPr="008C2F68">
              <w:rPr>
                <w:szCs w:val="22"/>
                <w:lang w:eastAsia="zh-CN"/>
              </w:rPr>
              <w:t>2</w:t>
            </w:r>
            <w:r w:rsidR="005963E5" w:rsidRPr="008C2F68">
              <w:rPr>
                <w:szCs w:val="22"/>
                <w:lang w:eastAsia="zh-CN"/>
              </w:rPr>
              <w:t>9,736</w:t>
            </w:r>
          </w:p>
        </w:tc>
        <w:tc>
          <w:tcPr>
            <w:tcW w:w="1693" w:type="dxa"/>
            <w:tcBorders>
              <w:top w:val="single" w:sz="4" w:space="0" w:color="auto"/>
            </w:tcBorders>
          </w:tcPr>
          <w:p w:rsidR="001575ED" w:rsidRPr="008C2F68" w:rsidRDefault="005963E5" w:rsidP="007F7D22">
            <w:pPr>
              <w:tabs>
                <w:tab w:val="clear" w:pos="720"/>
                <w:tab w:val="clear" w:pos="1440"/>
                <w:tab w:val="decimal" w:pos="1389"/>
              </w:tabs>
              <w:ind w:right="-2"/>
              <w:jc w:val="both"/>
              <w:rPr>
                <w:szCs w:val="22"/>
                <w:lang w:eastAsia="zh-CN"/>
              </w:rPr>
            </w:pPr>
            <w:r w:rsidRPr="008C2F68">
              <w:rPr>
                <w:szCs w:val="22"/>
                <w:lang w:eastAsia="zh-CN"/>
              </w:rPr>
              <w:t>2,384</w:t>
            </w:r>
          </w:p>
        </w:tc>
        <w:tc>
          <w:tcPr>
            <w:tcW w:w="1334" w:type="dxa"/>
            <w:tcBorders>
              <w:top w:val="single" w:sz="4" w:space="0" w:color="auto"/>
            </w:tcBorders>
          </w:tcPr>
          <w:p w:rsidR="001575ED" w:rsidRPr="008C2F68" w:rsidRDefault="00542E15" w:rsidP="0026443F">
            <w:pPr>
              <w:tabs>
                <w:tab w:val="clear" w:pos="720"/>
                <w:tab w:val="clear" w:pos="1440"/>
                <w:tab w:val="decimal" w:pos="1062"/>
              </w:tabs>
              <w:jc w:val="both"/>
              <w:rPr>
                <w:szCs w:val="22"/>
                <w:lang w:eastAsia="zh-CN"/>
              </w:rPr>
            </w:pPr>
            <w:r w:rsidRPr="008C2F68">
              <w:rPr>
                <w:szCs w:val="22"/>
                <w:lang w:eastAsia="zh-CN"/>
              </w:rPr>
              <w:t>3</w:t>
            </w:r>
            <w:r w:rsidR="005963E5" w:rsidRPr="008C2F68">
              <w:rPr>
                <w:szCs w:val="22"/>
                <w:lang w:eastAsia="zh-CN"/>
              </w:rPr>
              <w:t>2,129</w:t>
            </w:r>
          </w:p>
        </w:tc>
      </w:tr>
      <w:tr w:rsidR="001575ED" w:rsidRPr="008C2F68" w:rsidTr="00006531">
        <w:trPr>
          <w:gridAfter w:val="1"/>
          <w:wAfter w:w="89" w:type="dxa"/>
        </w:trPr>
        <w:tc>
          <w:tcPr>
            <w:tcW w:w="2679" w:type="dxa"/>
            <w:gridSpan w:val="2"/>
          </w:tcPr>
          <w:p w:rsidR="001575ED" w:rsidRPr="008C2F68" w:rsidRDefault="001575ED" w:rsidP="007D63EE">
            <w:pPr>
              <w:jc w:val="both"/>
              <w:rPr>
                <w:b/>
                <w:szCs w:val="22"/>
              </w:rPr>
            </w:pPr>
          </w:p>
        </w:tc>
        <w:tc>
          <w:tcPr>
            <w:tcW w:w="1371" w:type="dxa"/>
            <w:tcBorders>
              <w:top w:val="double" w:sz="4" w:space="0" w:color="auto"/>
            </w:tcBorders>
          </w:tcPr>
          <w:p w:rsidR="001575ED" w:rsidRPr="008C2F68" w:rsidRDefault="001575ED" w:rsidP="007F7D22">
            <w:pPr>
              <w:tabs>
                <w:tab w:val="decimal" w:pos="1083"/>
              </w:tabs>
              <w:jc w:val="both"/>
              <w:rPr>
                <w:szCs w:val="22"/>
              </w:rPr>
            </w:pPr>
          </w:p>
        </w:tc>
        <w:tc>
          <w:tcPr>
            <w:tcW w:w="1653" w:type="dxa"/>
            <w:tcBorders>
              <w:top w:val="double" w:sz="4" w:space="0" w:color="auto"/>
            </w:tcBorders>
          </w:tcPr>
          <w:p w:rsidR="001575ED" w:rsidRPr="008C2F68"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8C2F68"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8C2F68" w:rsidRDefault="001575ED" w:rsidP="0026443F">
            <w:pPr>
              <w:tabs>
                <w:tab w:val="clear" w:pos="720"/>
                <w:tab w:val="clear" w:pos="1440"/>
                <w:tab w:val="decimal" w:pos="1062"/>
              </w:tabs>
              <w:jc w:val="both"/>
              <w:rPr>
                <w:szCs w:val="22"/>
              </w:rPr>
            </w:pPr>
          </w:p>
        </w:tc>
      </w:tr>
      <w:tr w:rsidR="001575ED" w:rsidRPr="008C2F68" w:rsidTr="00006531">
        <w:trPr>
          <w:gridAfter w:val="1"/>
          <w:wAfter w:w="89" w:type="dxa"/>
        </w:trPr>
        <w:tc>
          <w:tcPr>
            <w:tcW w:w="2679" w:type="dxa"/>
            <w:gridSpan w:val="2"/>
          </w:tcPr>
          <w:p w:rsidR="001575ED" w:rsidRPr="008C2F68" w:rsidRDefault="001575ED" w:rsidP="007D63EE">
            <w:pPr>
              <w:jc w:val="both"/>
              <w:rPr>
                <w:b/>
                <w:szCs w:val="22"/>
              </w:rPr>
            </w:pPr>
            <w:r w:rsidRPr="008C2F68">
              <w:rPr>
                <w:b/>
                <w:szCs w:val="22"/>
              </w:rPr>
              <w:t>RESULT</w:t>
            </w:r>
          </w:p>
        </w:tc>
        <w:tc>
          <w:tcPr>
            <w:tcW w:w="1371" w:type="dxa"/>
          </w:tcPr>
          <w:p w:rsidR="001575ED" w:rsidRPr="008C2F68" w:rsidRDefault="001575ED" w:rsidP="007F7D22">
            <w:pPr>
              <w:tabs>
                <w:tab w:val="decimal" w:pos="1083"/>
              </w:tabs>
              <w:jc w:val="both"/>
              <w:rPr>
                <w:szCs w:val="22"/>
              </w:rPr>
            </w:pPr>
          </w:p>
        </w:tc>
        <w:tc>
          <w:tcPr>
            <w:tcW w:w="1653" w:type="dxa"/>
          </w:tcPr>
          <w:p w:rsidR="001575ED" w:rsidRPr="008C2F68" w:rsidRDefault="001575ED" w:rsidP="007F7D22">
            <w:pPr>
              <w:tabs>
                <w:tab w:val="clear" w:pos="1440"/>
                <w:tab w:val="decimal" w:pos="1332"/>
              </w:tabs>
              <w:jc w:val="both"/>
              <w:rPr>
                <w:szCs w:val="22"/>
              </w:rPr>
            </w:pPr>
          </w:p>
        </w:tc>
        <w:tc>
          <w:tcPr>
            <w:tcW w:w="1693" w:type="dxa"/>
          </w:tcPr>
          <w:p w:rsidR="001575ED" w:rsidRPr="008C2F68" w:rsidRDefault="001575ED" w:rsidP="007F7D22">
            <w:pPr>
              <w:tabs>
                <w:tab w:val="clear" w:pos="720"/>
                <w:tab w:val="clear" w:pos="1440"/>
                <w:tab w:val="decimal" w:pos="1389"/>
              </w:tabs>
              <w:ind w:right="-2"/>
              <w:jc w:val="both"/>
              <w:rPr>
                <w:szCs w:val="22"/>
              </w:rPr>
            </w:pPr>
          </w:p>
        </w:tc>
        <w:tc>
          <w:tcPr>
            <w:tcW w:w="1334" w:type="dxa"/>
          </w:tcPr>
          <w:p w:rsidR="001575ED" w:rsidRPr="008C2F68" w:rsidRDefault="001575ED" w:rsidP="0026443F">
            <w:pPr>
              <w:tabs>
                <w:tab w:val="clear" w:pos="720"/>
                <w:tab w:val="clear" w:pos="1440"/>
                <w:tab w:val="decimal" w:pos="1062"/>
              </w:tabs>
              <w:jc w:val="both"/>
              <w:rPr>
                <w:szCs w:val="22"/>
              </w:rPr>
            </w:pPr>
          </w:p>
        </w:tc>
      </w:tr>
      <w:tr w:rsidR="001575ED" w:rsidRPr="008C2F68" w:rsidTr="00006531">
        <w:trPr>
          <w:gridAfter w:val="1"/>
          <w:wAfter w:w="89" w:type="dxa"/>
        </w:trPr>
        <w:tc>
          <w:tcPr>
            <w:tcW w:w="2679" w:type="dxa"/>
            <w:gridSpan w:val="2"/>
          </w:tcPr>
          <w:p w:rsidR="001575ED" w:rsidRPr="008C2F68" w:rsidRDefault="001575ED" w:rsidP="007D63EE">
            <w:pPr>
              <w:jc w:val="both"/>
              <w:rPr>
                <w:szCs w:val="22"/>
              </w:rPr>
            </w:pPr>
            <w:r w:rsidRPr="008C2F68">
              <w:rPr>
                <w:szCs w:val="22"/>
              </w:rPr>
              <w:t>Segment result</w:t>
            </w:r>
          </w:p>
        </w:tc>
        <w:tc>
          <w:tcPr>
            <w:tcW w:w="1371" w:type="dxa"/>
          </w:tcPr>
          <w:p w:rsidR="001575ED" w:rsidRPr="008C2F68" w:rsidRDefault="00214D29" w:rsidP="005963E5">
            <w:pPr>
              <w:tabs>
                <w:tab w:val="clear" w:pos="720"/>
                <w:tab w:val="clear" w:pos="1440"/>
                <w:tab w:val="decimal" w:pos="1083"/>
              </w:tabs>
              <w:jc w:val="both"/>
              <w:rPr>
                <w:szCs w:val="22"/>
                <w:lang w:eastAsia="zh-CN"/>
              </w:rPr>
            </w:pPr>
            <w:r w:rsidRPr="008C2F68">
              <w:rPr>
                <w:szCs w:val="22"/>
                <w:lang w:eastAsia="zh-CN"/>
              </w:rPr>
              <w:t>(</w:t>
            </w:r>
            <w:r w:rsidR="005963E5" w:rsidRPr="008C2F68">
              <w:rPr>
                <w:szCs w:val="22"/>
                <w:lang w:eastAsia="zh-CN"/>
              </w:rPr>
              <w:t>443</w:t>
            </w:r>
            <w:r w:rsidRPr="008C2F68">
              <w:rPr>
                <w:szCs w:val="22"/>
                <w:lang w:eastAsia="zh-CN"/>
              </w:rPr>
              <w:t>)</w:t>
            </w:r>
          </w:p>
        </w:tc>
        <w:tc>
          <w:tcPr>
            <w:tcW w:w="1653" w:type="dxa"/>
          </w:tcPr>
          <w:p w:rsidR="001575ED" w:rsidRPr="008C2F68" w:rsidRDefault="00327B87" w:rsidP="007F7D22">
            <w:pPr>
              <w:tabs>
                <w:tab w:val="clear" w:pos="720"/>
                <w:tab w:val="clear" w:pos="1440"/>
                <w:tab w:val="decimal" w:pos="1332"/>
              </w:tabs>
              <w:jc w:val="both"/>
              <w:rPr>
                <w:szCs w:val="22"/>
                <w:lang w:eastAsia="zh-CN"/>
              </w:rPr>
            </w:pPr>
            <w:r w:rsidRPr="008C2F68">
              <w:rPr>
                <w:szCs w:val="22"/>
                <w:lang w:eastAsia="zh-CN"/>
              </w:rPr>
              <w:t>3,193</w:t>
            </w:r>
          </w:p>
        </w:tc>
        <w:tc>
          <w:tcPr>
            <w:tcW w:w="1693" w:type="dxa"/>
          </w:tcPr>
          <w:p w:rsidR="001575ED" w:rsidRPr="008C2F68" w:rsidRDefault="00366F47" w:rsidP="007F7D22">
            <w:pPr>
              <w:tabs>
                <w:tab w:val="clear" w:pos="720"/>
                <w:tab w:val="clear" w:pos="1440"/>
                <w:tab w:val="decimal" w:pos="1389"/>
              </w:tabs>
              <w:ind w:right="-2"/>
              <w:jc w:val="both"/>
              <w:rPr>
                <w:szCs w:val="22"/>
                <w:lang w:eastAsia="zh-CN"/>
              </w:rPr>
            </w:pPr>
            <w:r w:rsidRPr="008C2F68">
              <w:rPr>
                <w:szCs w:val="22"/>
                <w:lang w:eastAsia="zh-CN"/>
              </w:rPr>
              <w:t>60</w:t>
            </w:r>
          </w:p>
        </w:tc>
        <w:tc>
          <w:tcPr>
            <w:tcW w:w="1334" w:type="dxa"/>
          </w:tcPr>
          <w:p w:rsidR="001575ED" w:rsidRPr="008C2F68" w:rsidRDefault="00214D29" w:rsidP="00327B87">
            <w:pPr>
              <w:tabs>
                <w:tab w:val="clear" w:pos="720"/>
                <w:tab w:val="clear" w:pos="1440"/>
                <w:tab w:val="decimal" w:pos="1062"/>
              </w:tabs>
              <w:jc w:val="both"/>
              <w:rPr>
                <w:szCs w:val="22"/>
                <w:lang w:eastAsia="zh-CN"/>
              </w:rPr>
            </w:pPr>
            <w:r w:rsidRPr="008C2F68">
              <w:rPr>
                <w:szCs w:val="22"/>
                <w:lang w:eastAsia="zh-CN"/>
              </w:rPr>
              <w:t>2,</w:t>
            </w:r>
            <w:r w:rsidR="00327B87" w:rsidRPr="008C2F68">
              <w:rPr>
                <w:szCs w:val="22"/>
                <w:lang w:eastAsia="zh-CN"/>
              </w:rPr>
              <w:t>8</w:t>
            </w:r>
            <w:r w:rsidR="00366F47" w:rsidRPr="008C2F68">
              <w:rPr>
                <w:szCs w:val="22"/>
                <w:lang w:eastAsia="zh-CN"/>
              </w:rPr>
              <w:t>10</w:t>
            </w:r>
          </w:p>
        </w:tc>
      </w:tr>
      <w:tr w:rsidR="001575ED" w:rsidRPr="008C2F68" w:rsidTr="00006531">
        <w:trPr>
          <w:gridAfter w:val="1"/>
          <w:wAfter w:w="89" w:type="dxa"/>
        </w:trPr>
        <w:tc>
          <w:tcPr>
            <w:tcW w:w="2679" w:type="dxa"/>
            <w:gridSpan w:val="2"/>
          </w:tcPr>
          <w:p w:rsidR="001575ED" w:rsidRPr="008C2F68" w:rsidRDefault="001575ED" w:rsidP="007D63EE">
            <w:pPr>
              <w:jc w:val="both"/>
              <w:rPr>
                <w:szCs w:val="22"/>
              </w:rPr>
            </w:pPr>
            <w:r w:rsidRPr="008C2F68">
              <w:rPr>
                <w:szCs w:val="22"/>
              </w:rPr>
              <w:t xml:space="preserve">Finance costs </w:t>
            </w:r>
          </w:p>
        </w:tc>
        <w:tc>
          <w:tcPr>
            <w:tcW w:w="1371" w:type="dxa"/>
          </w:tcPr>
          <w:p w:rsidR="001575ED" w:rsidRPr="008C2F68" w:rsidRDefault="00214D29" w:rsidP="007F7D22">
            <w:pPr>
              <w:tabs>
                <w:tab w:val="clear" w:pos="720"/>
                <w:tab w:val="clear" w:pos="1440"/>
                <w:tab w:val="decimal" w:pos="1083"/>
              </w:tabs>
              <w:jc w:val="both"/>
              <w:rPr>
                <w:szCs w:val="22"/>
                <w:lang w:eastAsia="zh-CN"/>
              </w:rPr>
            </w:pPr>
            <w:r w:rsidRPr="008C2F68">
              <w:rPr>
                <w:szCs w:val="22"/>
                <w:lang w:eastAsia="zh-CN"/>
              </w:rPr>
              <w:t>-</w:t>
            </w:r>
          </w:p>
        </w:tc>
        <w:tc>
          <w:tcPr>
            <w:tcW w:w="1653" w:type="dxa"/>
          </w:tcPr>
          <w:p w:rsidR="001575ED" w:rsidRPr="008C2F68" w:rsidRDefault="00214D29" w:rsidP="00327B87">
            <w:pPr>
              <w:tabs>
                <w:tab w:val="clear" w:pos="720"/>
                <w:tab w:val="clear" w:pos="1440"/>
                <w:tab w:val="decimal" w:pos="1332"/>
              </w:tabs>
              <w:jc w:val="both"/>
              <w:rPr>
                <w:szCs w:val="22"/>
                <w:lang w:eastAsia="zh-CN"/>
              </w:rPr>
            </w:pPr>
            <w:r w:rsidRPr="008C2F68">
              <w:rPr>
                <w:szCs w:val="22"/>
                <w:lang w:eastAsia="zh-CN"/>
              </w:rPr>
              <w:t>(</w:t>
            </w:r>
            <w:r w:rsidR="00327B87" w:rsidRPr="008C2F68">
              <w:rPr>
                <w:szCs w:val="22"/>
                <w:lang w:eastAsia="zh-CN"/>
              </w:rPr>
              <w:t>35</w:t>
            </w:r>
            <w:r w:rsidRPr="008C2F68">
              <w:rPr>
                <w:szCs w:val="22"/>
                <w:lang w:eastAsia="zh-CN"/>
              </w:rPr>
              <w:t>)</w:t>
            </w:r>
          </w:p>
        </w:tc>
        <w:tc>
          <w:tcPr>
            <w:tcW w:w="1693" w:type="dxa"/>
          </w:tcPr>
          <w:p w:rsidR="001575ED" w:rsidRPr="008C2F68" w:rsidRDefault="00214D29" w:rsidP="00366F47">
            <w:pPr>
              <w:tabs>
                <w:tab w:val="clear" w:pos="720"/>
                <w:tab w:val="clear" w:pos="1440"/>
                <w:tab w:val="decimal" w:pos="1389"/>
              </w:tabs>
              <w:ind w:right="-2"/>
              <w:jc w:val="both"/>
              <w:rPr>
                <w:szCs w:val="22"/>
                <w:lang w:eastAsia="zh-CN"/>
              </w:rPr>
            </w:pPr>
            <w:r w:rsidRPr="008C2F68">
              <w:rPr>
                <w:szCs w:val="22"/>
                <w:lang w:eastAsia="zh-CN"/>
              </w:rPr>
              <w:t>(</w:t>
            </w:r>
            <w:r w:rsidR="00366F47" w:rsidRPr="008C2F68">
              <w:rPr>
                <w:szCs w:val="22"/>
                <w:lang w:eastAsia="zh-CN"/>
              </w:rPr>
              <w:t>4</w:t>
            </w:r>
            <w:r w:rsidRPr="008C2F68">
              <w:rPr>
                <w:szCs w:val="22"/>
                <w:lang w:eastAsia="zh-CN"/>
              </w:rPr>
              <w:t>)</w:t>
            </w:r>
          </w:p>
        </w:tc>
        <w:tc>
          <w:tcPr>
            <w:tcW w:w="1334" w:type="dxa"/>
            <w:shd w:val="clear" w:color="auto" w:fill="auto"/>
          </w:tcPr>
          <w:p w:rsidR="001575ED" w:rsidRPr="008C2F68" w:rsidRDefault="00214D29" w:rsidP="00366F47">
            <w:pPr>
              <w:tabs>
                <w:tab w:val="clear" w:pos="720"/>
                <w:tab w:val="clear" w:pos="1440"/>
                <w:tab w:val="decimal" w:pos="1062"/>
              </w:tabs>
              <w:jc w:val="both"/>
              <w:rPr>
                <w:szCs w:val="22"/>
                <w:lang w:eastAsia="zh-CN"/>
              </w:rPr>
            </w:pPr>
            <w:r w:rsidRPr="008C2F68">
              <w:rPr>
                <w:szCs w:val="22"/>
                <w:lang w:eastAsia="zh-CN"/>
              </w:rPr>
              <w:t>(3</w:t>
            </w:r>
            <w:r w:rsidR="00366F47" w:rsidRPr="008C2F68">
              <w:rPr>
                <w:szCs w:val="22"/>
                <w:lang w:eastAsia="zh-CN"/>
              </w:rPr>
              <w:t>9</w:t>
            </w:r>
            <w:r w:rsidRPr="008C2F68">
              <w:rPr>
                <w:szCs w:val="22"/>
                <w:lang w:eastAsia="zh-CN"/>
              </w:rPr>
              <w:t>)</w:t>
            </w:r>
          </w:p>
        </w:tc>
      </w:tr>
      <w:tr w:rsidR="001575ED" w:rsidRPr="008C2F68" w:rsidTr="00006531">
        <w:trPr>
          <w:gridAfter w:val="1"/>
          <w:wAfter w:w="89" w:type="dxa"/>
        </w:trPr>
        <w:tc>
          <w:tcPr>
            <w:tcW w:w="2679" w:type="dxa"/>
            <w:gridSpan w:val="2"/>
          </w:tcPr>
          <w:p w:rsidR="001575ED" w:rsidRPr="008C2F68" w:rsidRDefault="001575ED" w:rsidP="007D63EE">
            <w:pPr>
              <w:jc w:val="both"/>
              <w:rPr>
                <w:szCs w:val="22"/>
                <w:lang w:eastAsia="zh-CN"/>
              </w:rPr>
            </w:pPr>
            <w:r w:rsidRPr="008C2F68">
              <w:rPr>
                <w:rFonts w:hint="eastAsia"/>
                <w:szCs w:val="22"/>
                <w:lang w:eastAsia="zh-CN"/>
              </w:rPr>
              <w:t xml:space="preserve">Share of </w:t>
            </w:r>
            <w:r w:rsidR="00297FF9" w:rsidRPr="008C2F68">
              <w:rPr>
                <w:szCs w:val="22"/>
                <w:lang w:eastAsia="zh-CN"/>
              </w:rPr>
              <w:t>profit</w:t>
            </w:r>
            <w:r w:rsidRPr="008C2F68">
              <w:rPr>
                <w:rFonts w:hint="eastAsia"/>
                <w:szCs w:val="22"/>
                <w:lang w:eastAsia="zh-CN"/>
              </w:rPr>
              <w:t xml:space="preserve"> in a jointly controlled entity</w:t>
            </w:r>
          </w:p>
        </w:tc>
        <w:tc>
          <w:tcPr>
            <w:tcW w:w="1371" w:type="dxa"/>
          </w:tcPr>
          <w:p w:rsidR="001575ED" w:rsidRPr="008C2F68" w:rsidRDefault="001575ED" w:rsidP="007F7D22">
            <w:pPr>
              <w:tabs>
                <w:tab w:val="clear" w:pos="720"/>
                <w:tab w:val="clear" w:pos="1440"/>
                <w:tab w:val="decimal" w:pos="1083"/>
              </w:tabs>
              <w:jc w:val="both"/>
              <w:rPr>
                <w:szCs w:val="22"/>
                <w:lang w:eastAsia="zh-CN"/>
              </w:rPr>
            </w:pPr>
          </w:p>
          <w:p w:rsidR="00214D29" w:rsidRPr="008C2F68" w:rsidRDefault="005963E5" w:rsidP="007F7D22">
            <w:pPr>
              <w:tabs>
                <w:tab w:val="clear" w:pos="720"/>
                <w:tab w:val="clear" w:pos="1440"/>
                <w:tab w:val="decimal" w:pos="1083"/>
              </w:tabs>
              <w:jc w:val="both"/>
              <w:rPr>
                <w:szCs w:val="22"/>
                <w:lang w:eastAsia="zh-CN"/>
              </w:rPr>
            </w:pPr>
            <w:r w:rsidRPr="008C2F68">
              <w:rPr>
                <w:szCs w:val="22"/>
                <w:lang w:eastAsia="zh-CN"/>
              </w:rPr>
              <w:t>128</w:t>
            </w:r>
          </w:p>
        </w:tc>
        <w:tc>
          <w:tcPr>
            <w:tcW w:w="1653" w:type="dxa"/>
          </w:tcPr>
          <w:p w:rsidR="001575ED" w:rsidRPr="008C2F68" w:rsidRDefault="001575ED" w:rsidP="007F7D22">
            <w:pPr>
              <w:tabs>
                <w:tab w:val="clear" w:pos="720"/>
                <w:tab w:val="clear" w:pos="1440"/>
                <w:tab w:val="decimal" w:pos="1332"/>
              </w:tabs>
              <w:jc w:val="both"/>
              <w:rPr>
                <w:szCs w:val="22"/>
                <w:lang w:eastAsia="zh-CN"/>
              </w:rPr>
            </w:pPr>
          </w:p>
          <w:p w:rsidR="00214D29" w:rsidRPr="008C2F68" w:rsidRDefault="00214D29" w:rsidP="007F7D22">
            <w:pPr>
              <w:tabs>
                <w:tab w:val="clear" w:pos="720"/>
                <w:tab w:val="clear" w:pos="1440"/>
                <w:tab w:val="decimal" w:pos="1332"/>
              </w:tabs>
              <w:jc w:val="both"/>
              <w:rPr>
                <w:szCs w:val="22"/>
                <w:lang w:eastAsia="zh-CN"/>
              </w:rPr>
            </w:pPr>
            <w:r w:rsidRPr="008C2F68">
              <w:rPr>
                <w:szCs w:val="22"/>
                <w:lang w:eastAsia="zh-CN"/>
              </w:rPr>
              <w:t>-</w:t>
            </w:r>
          </w:p>
        </w:tc>
        <w:tc>
          <w:tcPr>
            <w:tcW w:w="1693" w:type="dxa"/>
          </w:tcPr>
          <w:p w:rsidR="001575ED" w:rsidRPr="008C2F68" w:rsidRDefault="001575ED" w:rsidP="007F7D22">
            <w:pPr>
              <w:tabs>
                <w:tab w:val="clear" w:pos="720"/>
                <w:tab w:val="clear" w:pos="1440"/>
                <w:tab w:val="decimal" w:pos="1389"/>
              </w:tabs>
              <w:ind w:right="-2"/>
              <w:jc w:val="both"/>
              <w:rPr>
                <w:szCs w:val="22"/>
                <w:lang w:eastAsia="zh-CN"/>
              </w:rPr>
            </w:pPr>
          </w:p>
          <w:p w:rsidR="00214D29" w:rsidRPr="008C2F68" w:rsidRDefault="00214D29" w:rsidP="007F7D22">
            <w:pPr>
              <w:tabs>
                <w:tab w:val="clear" w:pos="720"/>
                <w:tab w:val="clear" w:pos="1440"/>
                <w:tab w:val="decimal" w:pos="1389"/>
              </w:tabs>
              <w:ind w:right="-2"/>
              <w:jc w:val="both"/>
              <w:rPr>
                <w:szCs w:val="22"/>
                <w:lang w:eastAsia="zh-CN"/>
              </w:rPr>
            </w:pPr>
            <w:r w:rsidRPr="008C2F68">
              <w:rPr>
                <w:szCs w:val="22"/>
                <w:lang w:eastAsia="zh-CN"/>
              </w:rPr>
              <w:t>-</w:t>
            </w:r>
          </w:p>
        </w:tc>
        <w:tc>
          <w:tcPr>
            <w:tcW w:w="1334" w:type="dxa"/>
            <w:shd w:val="clear" w:color="auto" w:fill="auto"/>
          </w:tcPr>
          <w:p w:rsidR="008057E9" w:rsidRPr="008C2F68" w:rsidRDefault="008057E9" w:rsidP="007F7D22">
            <w:pPr>
              <w:tabs>
                <w:tab w:val="clear" w:pos="720"/>
                <w:tab w:val="clear" w:pos="1440"/>
                <w:tab w:val="decimal" w:pos="1062"/>
              </w:tabs>
              <w:jc w:val="both"/>
              <w:rPr>
                <w:szCs w:val="22"/>
                <w:lang w:eastAsia="zh-CN"/>
              </w:rPr>
            </w:pPr>
          </w:p>
          <w:p w:rsidR="00214D29" w:rsidRPr="008C2F68" w:rsidRDefault="00327B87" w:rsidP="007F7D22">
            <w:pPr>
              <w:tabs>
                <w:tab w:val="clear" w:pos="720"/>
                <w:tab w:val="clear" w:pos="1440"/>
                <w:tab w:val="decimal" w:pos="1062"/>
              </w:tabs>
              <w:jc w:val="both"/>
              <w:rPr>
                <w:szCs w:val="22"/>
                <w:lang w:eastAsia="zh-CN"/>
              </w:rPr>
            </w:pPr>
            <w:r w:rsidRPr="008C2F68">
              <w:rPr>
                <w:szCs w:val="22"/>
                <w:lang w:eastAsia="zh-CN"/>
              </w:rPr>
              <w:t>128</w:t>
            </w:r>
          </w:p>
        </w:tc>
      </w:tr>
      <w:tr w:rsidR="001575ED" w:rsidRPr="008C2F68" w:rsidTr="00006531">
        <w:trPr>
          <w:gridAfter w:val="1"/>
          <w:wAfter w:w="89" w:type="dxa"/>
        </w:trPr>
        <w:tc>
          <w:tcPr>
            <w:tcW w:w="2679" w:type="dxa"/>
            <w:gridSpan w:val="2"/>
          </w:tcPr>
          <w:p w:rsidR="001575ED" w:rsidRPr="008C2F68" w:rsidRDefault="001575ED" w:rsidP="007D63EE">
            <w:pPr>
              <w:jc w:val="both"/>
              <w:rPr>
                <w:szCs w:val="22"/>
              </w:rPr>
            </w:pPr>
            <w:r w:rsidRPr="008C2F68">
              <w:rPr>
                <w:szCs w:val="22"/>
              </w:rPr>
              <w:t xml:space="preserve">(Loss)/Profit before tax </w:t>
            </w:r>
          </w:p>
        </w:tc>
        <w:tc>
          <w:tcPr>
            <w:tcW w:w="1371" w:type="dxa"/>
            <w:tcBorders>
              <w:top w:val="single" w:sz="4" w:space="0" w:color="auto"/>
            </w:tcBorders>
          </w:tcPr>
          <w:p w:rsidR="001575ED" w:rsidRPr="008C2F68" w:rsidRDefault="005963E5" w:rsidP="005963E5">
            <w:pPr>
              <w:tabs>
                <w:tab w:val="clear" w:pos="720"/>
                <w:tab w:val="clear" w:pos="1440"/>
                <w:tab w:val="decimal" w:pos="1083"/>
              </w:tabs>
              <w:jc w:val="both"/>
              <w:rPr>
                <w:szCs w:val="22"/>
                <w:lang w:eastAsia="zh-CN"/>
              </w:rPr>
            </w:pPr>
            <w:r w:rsidRPr="008C2F68">
              <w:rPr>
                <w:szCs w:val="22"/>
                <w:lang w:eastAsia="zh-CN"/>
              </w:rPr>
              <w:t>(315)</w:t>
            </w:r>
          </w:p>
        </w:tc>
        <w:tc>
          <w:tcPr>
            <w:tcW w:w="1653" w:type="dxa"/>
            <w:tcBorders>
              <w:top w:val="single" w:sz="4" w:space="0" w:color="auto"/>
            </w:tcBorders>
          </w:tcPr>
          <w:p w:rsidR="001575ED" w:rsidRPr="008C2F68" w:rsidRDefault="00327B87" w:rsidP="007F7D22">
            <w:pPr>
              <w:tabs>
                <w:tab w:val="clear" w:pos="720"/>
                <w:tab w:val="clear" w:pos="1440"/>
                <w:tab w:val="decimal" w:pos="1332"/>
              </w:tabs>
              <w:jc w:val="both"/>
              <w:rPr>
                <w:szCs w:val="22"/>
                <w:lang w:eastAsia="zh-CN"/>
              </w:rPr>
            </w:pPr>
            <w:r w:rsidRPr="008C2F68">
              <w:rPr>
                <w:szCs w:val="22"/>
                <w:lang w:eastAsia="zh-CN"/>
              </w:rPr>
              <w:t>3,158</w:t>
            </w:r>
          </w:p>
        </w:tc>
        <w:tc>
          <w:tcPr>
            <w:tcW w:w="1693" w:type="dxa"/>
            <w:tcBorders>
              <w:top w:val="single" w:sz="4" w:space="0" w:color="auto"/>
            </w:tcBorders>
          </w:tcPr>
          <w:p w:rsidR="001575ED" w:rsidRPr="008C2F68" w:rsidRDefault="00327B87" w:rsidP="007F7D22">
            <w:pPr>
              <w:tabs>
                <w:tab w:val="clear" w:pos="720"/>
                <w:tab w:val="clear" w:pos="1440"/>
                <w:tab w:val="decimal" w:pos="1389"/>
              </w:tabs>
              <w:ind w:right="-2"/>
              <w:jc w:val="both"/>
              <w:rPr>
                <w:szCs w:val="22"/>
                <w:lang w:eastAsia="zh-CN"/>
              </w:rPr>
            </w:pPr>
            <w:r w:rsidRPr="008C2F68">
              <w:rPr>
                <w:szCs w:val="22"/>
                <w:lang w:eastAsia="zh-CN"/>
              </w:rPr>
              <w:t>56</w:t>
            </w:r>
          </w:p>
        </w:tc>
        <w:tc>
          <w:tcPr>
            <w:tcW w:w="1334" w:type="dxa"/>
            <w:tcBorders>
              <w:top w:val="single" w:sz="4" w:space="0" w:color="auto"/>
            </w:tcBorders>
            <w:shd w:val="clear" w:color="auto" w:fill="auto"/>
          </w:tcPr>
          <w:p w:rsidR="001575ED" w:rsidRPr="008C2F68" w:rsidRDefault="00214D29" w:rsidP="0026443F">
            <w:pPr>
              <w:tabs>
                <w:tab w:val="clear" w:pos="720"/>
                <w:tab w:val="clear" w:pos="1440"/>
                <w:tab w:val="decimal" w:pos="1062"/>
              </w:tabs>
              <w:jc w:val="both"/>
              <w:rPr>
                <w:szCs w:val="22"/>
                <w:lang w:eastAsia="zh-CN"/>
              </w:rPr>
            </w:pPr>
            <w:r w:rsidRPr="008C2F68">
              <w:rPr>
                <w:szCs w:val="22"/>
                <w:lang w:eastAsia="zh-CN"/>
              </w:rPr>
              <w:t>2</w:t>
            </w:r>
            <w:r w:rsidR="006F643B" w:rsidRPr="008C2F68">
              <w:rPr>
                <w:szCs w:val="22"/>
                <w:lang w:eastAsia="zh-CN"/>
              </w:rPr>
              <w:t>,899</w:t>
            </w:r>
          </w:p>
        </w:tc>
      </w:tr>
      <w:tr w:rsidR="001575ED" w:rsidRPr="008C2F68" w:rsidTr="00006531">
        <w:trPr>
          <w:gridAfter w:val="1"/>
          <w:wAfter w:w="89" w:type="dxa"/>
        </w:trPr>
        <w:tc>
          <w:tcPr>
            <w:tcW w:w="2679" w:type="dxa"/>
            <w:gridSpan w:val="2"/>
          </w:tcPr>
          <w:p w:rsidR="001575ED" w:rsidRPr="008C2F68" w:rsidRDefault="00BF4C81" w:rsidP="00695C78">
            <w:pPr>
              <w:jc w:val="both"/>
              <w:rPr>
                <w:szCs w:val="22"/>
              </w:rPr>
            </w:pPr>
            <w:r w:rsidRPr="008C2F68">
              <w:rPr>
                <w:szCs w:val="22"/>
              </w:rPr>
              <w:t>Tax expense</w:t>
            </w:r>
          </w:p>
        </w:tc>
        <w:tc>
          <w:tcPr>
            <w:tcW w:w="1371" w:type="dxa"/>
            <w:tcBorders>
              <w:bottom w:val="single" w:sz="4" w:space="0" w:color="auto"/>
            </w:tcBorders>
          </w:tcPr>
          <w:p w:rsidR="001575ED" w:rsidRPr="008C2F68" w:rsidRDefault="005963E5" w:rsidP="007F7D22">
            <w:pPr>
              <w:tabs>
                <w:tab w:val="clear" w:pos="720"/>
                <w:tab w:val="clear" w:pos="1440"/>
                <w:tab w:val="decimal" w:pos="1083"/>
              </w:tabs>
              <w:jc w:val="both"/>
              <w:rPr>
                <w:szCs w:val="22"/>
                <w:lang w:eastAsia="zh-CN"/>
              </w:rPr>
            </w:pPr>
            <w:r w:rsidRPr="008C2F68">
              <w:rPr>
                <w:szCs w:val="22"/>
                <w:lang w:eastAsia="zh-CN"/>
              </w:rPr>
              <w:t>(101</w:t>
            </w:r>
            <w:r w:rsidR="00214D29" w:rsidRPr="008C2F68">
              <w:rPr>
                <w:szCs w:val="22"/>
                <w:lang w:eastAsia="zh-CN"/>
              </w:rPr>
              <w:t>)</w:t>
            </w:r>
          </w:p>
        </w:tc>
        <w:tc>
          <w:tcPr>
            <w:tcW w:w="1653" w:type="dxa"/>
            <w:tcBorders>
              <w:bottom w:val="single" w:sz="4" w:space="0" w:color="auto"/>
            </w:tcBorders>
          </w:tcPr>
          <w:p w:rsidR="001575ED" w:rsidRPr="008C2F68" w:rsidRDefault="00214D29" w:rsidP="00327B87">
            <w:pPr>
              <w:tabs>
                <w:tab w:val="clear" w:pos="720"/>
                <w:tab w:val="clear" w:pos="1440"/>
                <w:tab w:val="decimal" w:pos="1332"/>
              </w:tabs>
              <w:jc w:val="both"/>
              <w:rPr>
                <w:szCs w:val="22"/>
                <w:lang w:eastAsia="zh-CN"/>
              </w:rPr>
            </w:pPr>
            <w:r w:rsidRPr="008C2F68">
              <w:rPr>
                <w:szCs w:val="22"/>
                <w:lang w:eastAsia="zh-CN"/>
              </w:rPr>
              <w:t>(</w:t>
            </w:r>
            <w:r w:rsidR="00327B87" w:rsidRPr="008C2F68">
              <w:rPr>
                <w:szCs w:val="22"/>
                <w:lang w:eastAsia="zh-CN"/>
              </w:rPr>
              <w:t>723</w:t>
            </w:r>
            <w:r w:rsidRPr="008C2F68">
              <w:rPr>
                <w:szCs w:val="22"/>
                <w:lang w:eastAsia="zh-CN"/>
              </w:rPr>
              <w:t>)</w:t>
            </w:r>
          </w:p>
        </w:tc>
        <w:tc>
          <w:tcPr>
            <w:tcW w:w="1693" w:type="dxa"/>
            <w:tcBorders>
              <w:bottom w:val="single" w:sz="4" w:space="0" w:color="auto"/>
            </w:tcBorders>
          </w:tcPr>
          <w:p w:rsidR="001575ED" w:rsidRPr="008C2F68" w:rsidRDefault="00327B87" w:rsidP="007F7D22">
            <w:pPr>
              <w:tabs>
                <w:tab w:val="clear" w:pos="720"/>
                <w:tab w:val="clear" w:pos="1440"/>
                <w:tab w:val="decimal" w:pos="1389"/>
              </w:tabs>
              <w:ind w:right="-2"/>
              <w:jc w:val="both"/>
              <w:rPr>
                <w:szCs w:val="22"/>
                <w:lang w:eastAsia="zh-CN"/>
              </w:rPr>
            </w:pPr>
            <w:r w:rsidRPr="008C2F68">
              <w:rPr>
                <w:szCs w:val="22"/>
                <w:lang w:eastAsia="zh-CN"/>
              </w:rPr>
              <w:t>12</w:t>
            </w:r>
          </w:p>
        </w:tc>
        <w:tc>
          <w:tcPr>
            <w:tcW w:w="1334" w:type="dxa"/>
            <w:tcBorders>
              <w:bottom w:val="single" w:sz="4" w:space="0" w:color="auto"/>
            </w:tcBorders>
            <w:shd w:val="clear" w:color="auto" w:fill="auto"/>
          </w:tcPr>
          <w:p w:rsidR="001575ED" w:rsidRPr="008C2F68" w:rsidRDefault="00214D29" w:rsidP="00327B87">
            <w:pPr>
              <w:tabs>
                <w:tab w:val="clear" w:pos="720"/>
                <w:tab w:val="clear" w:pos="1440"/>
                <w:tab w:val="decimal" w:pos="1062"/>
              </w:tabs>
              <w:jc w:val="both"/>
              <w:rPr>
                <w:szCs w:val="22"/>
                <w:lang w:eastAsia="zh-CN"/>
              </w:rPr>
            </w:pPr>
            <w:r w:rsidRPr="008C2F68">
              <w:rPr>
                <w:szCs w:val="22"/>
                <w:lang w:eastAsia="zh-CN"/>
              </w:rPr>
              <w:t>(8</w:t>
            </w:r>
            <w:r w:rsidR="00327B87" w:rsidRPr="008C2F68">
              <w:rPr>
                <w:szCs w:val="22"/>
                <w:lang w:eastAsia="zh-CN"/>
              </w:rPr>
              <w:t>12</w:t>
            </w:r>
            <w:r w:rsidRPr="008C2F68">
              <w:rPr>
                <w:szCs w:val="22"/>
                <w:lang w:eastAsia="zh-CN"/>
              </w:rPr>
              <w:t>)</w:t>
            </w:r>
          </w:p>
        </w:tc>
      </w:tr>
      <w:tr w:rsidR="001575ED" w:rsidRPr="008C2F68" w:rsidTr="00006531">
        <w:trPr>
          <w:gridAfter w:val="1"/>
          <w:wAfter w:w="89" w:type="dxa"/>
        </w:trPr>
        <w:tc>
          <w:tcPr>
            <w:tcW w:w="2679" w:type="dxa"/>
            <w:gridSpan w:val="2"/>
          </w:tcPr>
          <w:p w:rsidR="001575ED" w:rsidRPr="008C2F68" w:rsidRDefault="001575ED" w:rsidP="00796AF6">
            <w:pPr>
              <w:jc w:val="both"/>
              <w:rPr>
                <w:szCs w:val="22"/>
              </w:rPr>
            </w:pPr>
            <w:r w:rsidRPr="008C2F68">
              <w:rPr>
                <w:szCs w:val="22"/>
              </w:rPr>
              <w:t>(Loss)/Profit after tax</w:t>
            </w:r>
          </w:p>
        </w:tc>
        <w:tc>
          <w:tcPr>
            <w:tcW w:w="1371" w:type="dxa"/>
            <w:tcBorders>
              <w:top w:val="single" w:sz="4" w:space="0" w:color="auto"/>
              <w:bottom w:val="double" w:sz="4" w:space="0" w:color="auto"/>
            </w:tcBorders>
          </w:tcPr>
          <w:p w:rsidR="001575ED" w:rsidRPr="008C2F68" w:rsidRDefault="005963E5" w:rsidP="007F7D22">
            <w:pPr>
              <w:tabs>
                <w:tab w:val="clear" w:pos="720"/>
                <w:tab w:val="clear" w:pos="1440"/>
                <w:tab w:val="decimal" w:pos="1083"/>
              </w:tabs>
              <w:jc w:val="both"/>
              <w:rPr>
                <w:szCs w:val="22"/>
                <w:lang w:eastAsia="zh-CN"/>
              </w:rPr>
            </w:pPr>
            <w:r w:rsidRPr="008C2F68">
              <w:rPr>
                <w:szCs w:val="22"/>
                <w:lang w:eastAsia="zh-CN"/>
              </w:rPr>
              <w:t>(416</w:t>
            </w:r>
            <w:r w:rsidR="00214D29" w:rsidRPr="008C2F68">
              <w:rPr>
                <w:szCs w:val="22"/>
                <w:lang w:eastAsia="zh-CN"/>
              </w:rPr>
              <w:t>)</w:t>
            </w:r>
          </w:p>
        </w:tc>
        <w:tc>
          <w:tcPr>
            <w:tcW w:w="1653" w:type="dxa"/>
            <w:tcBorders>
              <w:top w:val="single" w:sz="4" w:space="0" w:color="auto"/>
              <w:bottom w:val="double" w:sz="4" w:space="0" w:color="auto"/>
            </w:tcBorders>
          </w:tcPr>
          <w:p w:rsidR="001575ED" w:rsidRPr="008C2F68" w:rsidRDefault="00327B87" w:rsidP="007F7D22">
            <w:pPr>
              <w:tabs>
                <w:tab w:val="clear" w:pos="720"/>
                <w:tab w:val="clear" w:pos="1440"/>
                <w:tab w:val="decimal" w:pos="1332"/>
              </w:tabs>
              <w:jc w:val="both"/>
              <w:rPr>
                <w:szCs w:val="22"/>
                <w:lang w:eastAsia="zh-CN"/>
              </w:rPr>
            </w:pPr>
            <w:r w:rsidRPr="008C2F68">
              <w:rPr>
                <w:szCs w:val="22"/>
                <w:lang w:eastAsia="zh-CN"/>
              </w:rPr>
              <w:t>2,435</w:t>
            </w:r>
          </w:p>
        </w:tc>
        <w:tc>
          <w:tcPr>
            <w:tcW w:w="1693" w:type="dxa"/>
            <w:tcBorders>
              <w:top w:val="single" w:sz="4" w:space="0" w:color="auto"/>
              <w:bottom w:val="double" w:sz="4" w:space="0" w:color="auto"/>
            </w:tcBorders>
          </w:tcPr>
          <w:p w:rsidR="001575ED" w:rsidRPr="008C2F68" w:rsidRDefault="00327B87" w:rsidP="007F7D22">
            <w:pPr>
              <w:tabs>
                <w:tab w:val="clear" w:pos="720"/>
                <w:tab w:val="clear" w:pos="1440"/>
                <w:tab w:val="decimal" w:pos="1389"/>
              </w:tabs>
              <w:ind w:right="-2"/>
              <w:jc w:val="both"/>
              <w:rPr>
                <w:szCs w:val="22"/>
                <w:lang w:eastAsia="zh-CN"/>
              </w:rPr>
            </w:pPr>
            <w:r w:rsidRPr="008C2F68">
              <w:rPr>
                <w:szCs w:val="22"/>
                <w:lang w:eastAsia="zh-CN"/>
              </w:rPr>
              <w:t>68</w:t>
            </w:r>
          </w:p>
        </w:tc>
        <w:tc>
          <w:tcPr>
            <w:tcW w:w="1334" w:type="dxa"/>
            <w:tcBorders>
              <w:top w:val="single" w:sz="4" w:space="0" w:color="auto"/>
              <w:bottom w:val="double" w:sz="4" w:space="0" w:color="auto"/>
            </w:tcBorders>
            <w:shd w:val="clear" w:color="auto" w:fill="auto"/>
          </w:tcPr>
          <w:p w:rsidR="001575ED" w:rsidRPr="008C2F68" w:rsidRDefault="00ED7996" w:rsidP="0026443F">
            <w:pPr>
              <w:tabs>
                <w:tab w:val="clear" w:pos="720"/>
                <w:tab w:val="clear" w:pos="1440"/>
                <w:tab w:val="decimal" w:pos="1062"/>
              </w:tabs>
              <w:jc w:val="both"/>
              <w:rPr>
                <w:szCs w:val="22"/>
                <w:lang w:eastAsia="zh-CN"/>
              </w:rPr>
            </w:pPr>
            <w:r w:rsidRPr="008C2F68">
              <w:rPr>
                <w:szCs w:val="22"/>
                <w:lang w:eastAsia="zh-CN"/>
              </w:rPr>
              <w:t>2,087</w:t>
            </w:r>
          </w:p>
        </w:tc>
      </w:tr>
      <w:tr w:rsidR="001575ED" w:rsidRPr="008C2F68" w:rsidTr="00006531">
        <w:trPr>
          <w:gridAfter w:val="1"/>
          <w:wAfter w:w="89" w:type="dxa"/>
        </w:trPr>
        <w:tc>
          <w:tcPr>
            <w:tcW w:w="2679" w:type="dxa"/>
            <w:gridSpan w:val="2"/>
          </w:tcPr>
          <w:p w:rsidR="001575ED" w:rsidRPr="008C2F68" w:rsidRDefault="001575ED" w:rsidP="007D63EE">
            <w:pPr>
              <w:jc w:val="both"/>
              <w:rPr>
                <w:szCs w:val="22"/>
              </w:rPr>
            </w:pPr>
          </w:p>
        </w:tc>
        <w:tc>
          <w:tcPr>
            <w:tcW w:w="1371" w:type="dxa"/>
            <w:tcBorders>
              <w:top w:val="double" w:sz="4" w:space="0" w:color="auto"/>
            </w:tcBorders>
          </w:tcPr>
          <w:p w:rsidR="001575ED" w:rsidRPr="008C2F68" w:rsidRDefault="001575ED" w:rsidP="007D63EE">
            <w:pPr>
              <w:jc w:val="right"/>
              <w:rPr>
                <w:szCs w:val="22"/>
              </w:rPr>
            </w:pPr>
          </w:p>
        </w:tc>
        <w:tc>
          <w:tcPr>
            <w:tcW w:w="1653" w:type="dxa"/>
            <w:tcBorders>
              <w:top w:val="double" w:sz="4" w:space="0" w:color="auto"/>
            </w:tcBorders>
          </w:tcPr>
          <w:p w:rsidR="001575ED" w:rsidRPr="008C2F68"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8C2F68" w:rsidRDefault="001575ED" w:rsidP="007F7D22">
            <w:pPr>
              <w:tabs>
                <w:tab w:val="decimal" w:pos="1389"/>
              </w:tabs>
              <w:ind w:right="-2"/>
              <w:jc w:val="both"/>
              <w:rPr>
                <w:szCs w:val="22"/>
              </w:rPr>
            </w:pPr>
          </w:p>
        </w:tc>
        <w:tc>
          <w:tcPr>
            <w:tcW w:w="1334" w:type="dxa"/>
            <w:tcBorders>
              <w:top w:val="double" w:sz="4" w:space="0" w:color="auto"/>
            </w:tcBorders>
          </w:tcPr>
          <w:p w:rsidR="001575ED" w:rsidRPr="008C2F68" w:rsidRDefault="001575ED" w:rsidP="007F7D22">
            <w:pPr>
              <w:tabs>
                <w:tab w:val="decimal" w:pos="1062"/>
              </w:tabs>
              <w:jc w:val="both"/>
              <w:rPr>
                <w:szCs w:val="22"/>
              </w:rPr>
            </w:pPr>
          </w:p>
        </w:tc>
      </w:tr>
      <w:tr w:rsidR="00631B07" w:rsidRPr="008C2F68" w:rsidTr="00006531">
        <w:trPr>
          <w:gridBefore w:val="1"/>
          <w:wBefore w:w="6" w:type="dxa"/>
        </w:trPr>
        <w:tc>
          <w:tcPr>
            <w:tcW w:w="2673" w:type="dxa"/>
          </w:tcPr>
          <w:p w:rsidR="00631B07" w:rsidRPr="008C2F68" w:rsidRDefault="00631B07" w:rsidP="00905CBE">
            <w:pPr>
              <w:jc w:val="both"/>
              <w:rPr>
                <w:b/>
                <w:szCs w:val="22"/>
              </w:rPr>
            </w:pPr>
            <w:r w:rsidRPr="008C2F68">
              <w:rPr>
                <w:b/>
                <w:szCs w:val="22"/>
              </w:rPr>
              <w:t>Consolidated Statement of Financial Position</w:t>
            </w:r>
          </w:p>
        </w:tc>
        <w:tc>
          <w:tcPr>
            <w:tcW w:w="1371" w:type="dxa"/>
          </w:tcPr>
          <w:p w:rsidR="00631B07" w:rsidRPr="008C2F68" w:rsidRDefault="00631B07" w:rsidP="00130836">
            <w:pPr>
              <w:tabs>
                <w:tab w:val="clear" w:pos="720"/>
                <w:tab w:val="clear" w:pos="1440"/>
              </w:tabs>
              <w:ind w:right="72"/>
              <w:jc w:val="right"/>
              <w:rPr>
                <w:szCs w:val="22"/>
                <w:lang w:eastAsia="zh-CN"/>
              </w:rPr>
            </w:pPr>
          </w:p>
        </w:tc>
        <w:tc>
          <w:tcPr>
            <w:tcW w:w="1653" w:type="dxa"/>
          </w:tcPr>
          <w:p w:rsidR="00631B07" w:rsidRPr="008C2F68" w:rsidRDefault="00631B07" w:rsidP="007F7D22">
            <w:pPr>
              <w:tabs>
                <w:tab w:val="clear" w:pos="720"/>
                <w:tab w:val="clear" w:pos="1440"/>
                <w:tab w:val="decimal" w:pos="1332"/>
              </w:tabs>
              <w:jc w:val="both"/>
              <w:rPr>
                <w:szCs w:val="22"/>
                <w:lang w:eastAsia="zh-CN"/>
              </w:rPr>
            </w:pPr>
          </w:p>
        </w:tc>
        <w:tc>
          <w:tcPr>
            <w:tcW w:w="1693" w:type="dxa"/>
          </w:tcPr>
          <w:p w:rsidR="00631B07" w:rsidRPr="008C2F68" w:rsidRDefault="00631B07" w:rsidP="007F7D22">
            <w:pPr>
              <w:tabs>
                <w:tab w:val="clear" w:pos="720"/>
                <w:tab w:val="clear" w:pos="1440"/>
                <w:tab w:val="decimal" w:pos="1389"/>
              </w:tabs>
              <w:ind w:right="-2"/>
              <w:jc w:val="both"/>
              <w:rPr>
                <w:szCs w:val="22"/>
                <w:lang w:eastAsia="zh-CN"/>
              </w:rPr>
            </w:pPr>
          </w:p>
        </w:tc>
        <w:tc>
          <w:tcPr>
            <w:tcW w:w="1423" w:type="dxa"/>
            <w:gridSpan w:val="2"/>
          </w:tcPr>
          <w:p w:rsidR="00631B07" w:rsidRPr="008C2F68" w:rsidRDefault="00631B07" w:rsidP="0026443F">
            <w:pPr>
              <w:tabs>
                <w:tab w:val="clear" w:pos="720"/>
                <w:tab w:val="clear" w:pos="1440"/>
                <w:tab w:val="decimal" w:pos="1062"/>
              </w:tabs>
              <w:jc w:val="both"/>
              <w:rPr>
                <w:szCs w:val="22"/>
                <w:lang w:eastAsia="zh-CN"/>
              </w:rPr>
            </w:pPr>
          </w:p>
        </w:tc>
      </w:tr>
      <w:tr w:rsidR="00A66095" w:rsidRPr="008C2F68" w:rsidTr="00006531">
        <w:trPr>
          <w:gridBefore w:val="1"/>
          <w:wBefore w:w="6" w:type="dxa"/>
        </w:trPr>
        <w:tc>
          <w:tcPr>
            <w:tcW w:w="2673" w:type="dxa"/>
          </w:tcPr>
          <w:p w:rsidR="00A66095" w:rsidRPr="008C2F68" w:rsidRDefault="00A66095" w:rsidP="00905CBE">
            <w:pPr>
              <w:jc w:val="both"/>
              <w:rPr>
                <w:szCs w:val="22"/>
              </w:rPr>
            </w:pPr>
            <w:r w:rsidRPr="008C2F68">
              <w:rPr>
                <w:szCs w:val="22"/>
              </w:rPr>
              <w:t>Segment assets</w:t>
            </w:r>
          </w:p>
        </w:tc>
        <w:tc>
          <w:tcPr>
            <w:tcW w:w="1371" w:type="dxa"/>
          </w:tcPr>
          <w:p w:rsidR="00A66095" w:rsidRPr="008C2F68" w:rsidRDefault="005963E5" w:rsidP="007F7D22">
            <w:pPr>
              <w:tabs>
                <w:tab w:val="clear" w:pos="720"/>
                <w:tab w:val="clear" w:pos="1440"/>
                <w:tab w:val="decimal" w:pos="1083"/>
              </w:tabs>
              <w:jc w:val="right"/>
              <w:rPr>
                <w:szCs w:val="22"/>
                <w:lang w:eastAsia="zh-CN"/>
              </w:rPr>
            </w:pPr>
            <w:r w:rsidRPr="008C2F68">
              <w:rPr>
                <w:szCs w:val="22"/>
                <w:lang w:eastAsia="zh-CN"/>
              </w:rPr>
              <w:t>8,720</w:t>
            </w:r>
          </w:p>
        </w:tc>
        <w:tc>
          <w:tcPr>
            <w:tcW w:w="1653" w:type="dxa"/>
          </w:tcPr>
          <w:p w:rsidR="00A66095" w:rsidRPr="008C2F68" w:rsidRDefault="005963E5" w:rsidP="007F7D22">
            <w:pPr>
              <w:tabs>
                <w:tab w:val="clear" w:pos="720"/>
                <w:tab w:val="clear" w:pos="1440"/>
                <w:tab w:val="decimal" w:pos="1332"/>
              </w:tabs>
              <w:jc w:val="both"/>
              <w:rPr>
                <w:szCs w:val="22"/>
                <w:lang w:eastAsia="zh-CN"/>
              </w:rPr>
            </w:pPr>
            <w:r w:rsidRPr="008C2F68">
              <w:rPr>
                <w:szCs w:val="22"/>
                <w:lang w:eastAsia="zh-CN"/>
              </w:rPr>
              <w:t>73,228</w:t>
            </w:r>
          </w:p>
        </w:tc>
        <w:tc>
          <w:tcPr>
            <w:tcW w:w="1693" w:type="dxa"/>
          </w:tcPr>
          <w:p w:rsidR="00A66095" w:rsidRPr="008C2F68" w:rsidRDefault="005963E5" w:rsidP="007F7D22">
            <w:pPr>
              <w:tabs>
                <w:tab w:val="clear" w:pos="720"/>
                <w:tab w:val="clear" w:pos="1440"/>
                <w:tab w:val="decimal" w:pos="1389"/>
              </w:tabs>
              <w:ind w:right="-2"/>
              <w:jc w:val="both"/>
              <w:rPr>
                <w:szCs w:val="22"/>
                <w:lang w:eastAsia="zh-CN"/>
              </w:rPr>
            </w:pPr>
            <w:r w:rsidRPr="008C2F68">
              <w:rPr>
                <w:szCs w:val="22"/>
                <w:lang w:eastAsia="zh-CN"/>
              </w:rPr>
              <w:t>10,256</w:t>
            </w:r>
          </w:p>
        </w:tc>
        <w:tc>
          <w:tcPr>
            <w:tcW w:w="1423" w:type="dxa"/>
            <w:gridSpan w:val="2"/>
          </w:tcPr>
          <w:p w:rsidR="00A66095" w:rsidRPr="008C2F68" w:rsidRDefault="005963E5" w:rsidP="0026443F">
            <w:pPr>
              <w:tabs>
                <w:tab w:val="clear" w:pos="720"/>
                <w:tab w:val="clear" w:pos="1440"/>
                <w:tab w:val="decimal" w:pos="1062"/>
              </w:tabs>
              <w:jc w:val="both"/>
              <w:rPr>
                <w:szCs w:val="22"/>
                <w:lang w:eastAsia="zh-CN"/>
              </w:rPr>
            </w:pPr>
            <w:r w:rsidRPr="008C2F68">
              <w:rPr>
                <w:szCs w:val="22"/>
                <w:lang w:eastAsia="zh-CN"/>
              </w:rPr>
              <w:t>92,204</w:t>
            </w:r>
          </w:p>
        </w:tc>
      </w:tr>
      <w:tr w:rsidR="005C7D4D" w:rsidRPr="008C2F68" w:rsidTr="00006531">
        <w:trPr>
          <w:gridBefore w:val="1"/>
          <w:wBefore w:w="6" w:type="dxa"/>
        </w:trPr>
        <w:tc>
          <w:tcPr>
            <w:tcW w:w="2673" w:type="dxa"/>
          </w:tcPr>
          <w:p w:rsidR="005C7D4D" w:rsidRPr="008C2F68" w:rsidRDefault="005C7D4D" w:rsidP="00905CBE">
            <w:pPr>
              <w:jc w:val="both"/>
              <w:rPr>
                <w:szCs w:val="22"/>
                <w:lang w:eastAsia="zh-CN"/>
              </w:rPr>
            </w:pPr>
            <w:r w:rsidRPr="008C2F68">
              <w:rPr>
                <w:szCs w:val="22"/>
              </w:rPr>
              <w:t>Segment liabilities</w:t>
            </w:r>
          </w:p>
        </w:tc>
        <w:tc>
          <w:tcPr>
            <w:tcW w:w="1371" w:type="dxa"/>
          </w:tcPr>
          <w:p w:rsidR="005C7D4D" w:rsidRPr="008C2F68" w:rsidRDefault="005963E5" w:rsidP="007F7D22">
            <w:pPr>
              <w:tabs>
                <w:tab w:val="clear" w:pos="720"/>
                <w:tab w:val="clear" w:pos="1440"/>
                <w:tab w:val="decimal" w:pos="1083"/>
              </w:tabs>
              <w:jc w:val="right"/>
              <w:rPr>
                <w:szCs w:val="22"/>
                <w:lang w:eastAsia="zh-CN"/>
              </w:rPr>
            </w:pPr>
            <w:r w:rsidRPr="008C2F68">
              <w:rPr>
                <w:szCs w:val="22"/>
                <w:lang w:eastAsia="zh-CN"/>
              </w:rPr>
              <w:t>392</w:t>
            </w:r>
          </w:p>
        </w:tc>
        <w:tc>
          <w:tcPr>
            <w:tcW w:w="1653" w:type="dxa"/>
          </w:tcPr>
          <w:p w:rsidR="005C7D4D" w:rsidRPr="008C2F68" w:rsidRDefault="005963E5" w:rsidP="007F7D22">
            <w:pPr>
              <w:tabs>
                <w:tab w:val="clear" w:pos="720"/>
                <w:tab w:val="clear" w:pos="1440"/>
                <w:tab w:val="decimal" w:pos="1332"/>
              </w:tabs>
              <w:jc w:val="both"/>
              <w:rPr>
                <w:szCs w:val="22"/>
                <w:lang w:eastAsia="zh-CN"/>
              </w:rPr>
            </w:pPr>
            <w:r w:rsidRPr="008C2F68">
              <w:rPr>
                <w:szCs w:val="22"/>
                <w:lang w:eastAsia="zh-CN"/>
              </w:rPr>
              <w:t>13,495</w:t>
            </w:r>
          </w:p>
        </w:tc>
        <w:tc>
          <w:tcPr>
            <w:tcW w:w="1693" w:type="dxa"/>
          </w:tcPr>
          <w:p w:rsidR="005C7D4D" w:rsidRPr="008C2F68" w:rsidRDefault="005963E5" w:rsidP="007F7D22">
            <w:pPr>
              <w:tabs>
                <w:tab w:val="clear" w:pos="720"/>
                <w:tab w:val="clear" w:pos="1440"/>
                <w:tab w:val="decimal" w:pos="1389"/>
              </w:tabs>
              <w:ind w:right="-2"/>
              <w:jc w:val="both"/>
              <w:rPr>
                <w:szCs w:val="22"/>
                <w:lang w:eastAsia="zh-CN"/>
              </w:rPr>
            </w:pPr>
            <w:r w:rsidRPr="008C2F68">
              <w:rPr>
                <w:szCs w:val="22"/>
                <w:lang w:eastAsia="zh-CN"/>
              </w:rPr>
              <w:t>1,099</w:t>
            </w:r>
          </w:p>
        </w:tc>
        <w:tc>
          <w:tcPr>
            <w:tcW w:w="1423" w:type="dxa"/>
            <w:gridSpan w:val="2"/>
          </w:tcPr>
          <w:p w:rsidR="005C7D4D" w:rsidRPr="008C2F68" w:rsidRDefault="005963E5" w:rsidP="0026443F">
            <w:pPr>
              <w:tabs>
                <w:tab w:val="clear" w:pos="720"/>
                <w:tab w:val="clear" w:pos="1440"/>
                <w:tab w:val="decimal" w:pos="1062"/>
              </w:tabs>
              <w:jc w:val="both"/>
              <w:rPr>
                <w:szCs w:val="22"/>
                <w:lang w:eastAsia="zh-CN"/>
              </w:rPr>
            </w:pPr>
            <w:r w:rsidRPr="008C2F68">
              <w:rPr>
                <w:szCs w:val="22"/>
                <w:lang w:eastAsia="zh-CN"/>
              </w:rPr>
              <w:t>14,986</w:t>
            </w:r>
          </w:p>
        </w:tc>
      </w:tr>
    </w:tbl>
    <w:p w:rsidR="002D3D46" w:rsidRPr="008C2F68" w:rsidRDefault="002D3D46" w:rsidP="00E157C0">
      <w:pPr>
        <w:pStyle w:val="bodytest"/>
        <w:keepNext w:val="0"/>
        <w:outlineLvl w:val="9"/>
        <w:rPr>
          <w:szCs w:val="22"/>
          <w:lang w:eastAsia="zh-CN"/>
        </w:rPr>
      </w:pPr>
    </w:p>
    <w:p w:rsidR="00353FF8" w:rsidRPr="008C2F68" w:rsidRDefault="00353FF8" w:rsidP="00353FF8">
      <w:pPr>
        <w:pStyle w:val="bodytest"/>
        <w:keepNext w:val="0"/>
        <w:outlineLvl w:val="9"/>
        <w:rPr>
          <w:b/>
          <w:szCs w:val="22"/>
          <w:u w:val="single"/>
          <w:lang w:eastAsia="zh-CN"/>
        </w:rPr>
      </w:pPr>
      <w:r w:rsidRPr="008C2F68">
        <w:rPr>
          <w:rFonts w:hint="eastAsia"/>
          <w:b/>
          <w:szCs w:val="22"/>
          <w:u w:val="single"/>
          <w:lang w:eastAsia="zh-CN"/>
        </w:rPr>
        <w:t>3 months ended 3</w:t>
      </w:r>
      <w:r w:rsidRPr="008C2F68">
        <w:rPr>
          <w:b/>
          <w:szCs w:val="22"/>
          <w:u w:val="single"/>
          <w:lang w:eastAsia="zh-CN"/>
        </w:rPr>
        <w:t>0</w:t>
      </w:r>
      <w:r w:rsidRPr="008C2F68">
        <w:rPr>
          <w:rFonts w:hint="eastAsia"/>
          <w:b/>
          <w:szCs w:val="22"/>
          <w:u w:val="single"/>
          <w:lang w:eastAsia="zh-CN"/>
        </w:rPr>
        <w:t xml:space="preserve"> </w:t>
      </w:r>
      <w:r w:rsidR="00250F81" w:rsidRPr="008C2F68">
        <w:rPr>
          <w:b/>
          <w:szCs w:val="22"/>
          <w:u w:val="single"/>
          <w:lang w:eastAsia="zh-CN"/>
        </w:rPr>
        <w:t xml:space="preserve">September </w:t>
      </w:r>
      <w:r w:rsidRPr="008C2F68">
        <w:rPr>
          <w:rFonts w:hint="eastAsia"/>
          <w:b/>
          <w:szCs w:val="22"/>
          <w:u w:val="single"/>
          <w:lang w:eastAsia="zh-CN"/>
        </w:rPr>
        <w:t>201</w:t>
      </w:r>
      <w:r w:rsidRPr="008C2F68">
        <w:rPr>
          <w:b/>
          <w:szCs w:val="22"/>
          <w:u w:val="single"/>
          <w:lang w:eastAsia="zh-CN"/>
        </w:rPr>
        <w:t>2</w:t>
      </w:r>
    </w:p>
    <w:p w:rsidR="00353FF8" w:rsidRPr="008C2F68" w:rsidRDefault="00353FF8" w:rsidP="00353FF8">
      <w:pPr>
        <w:pStyle w:val="bodytest"/>
        <w:keepNext w:val="0"/>
        <w:outlineLvl w:val="9"/>
        <w:rPr>
          <w:szCs w:val="22"/>
          <w:lang w:eastAsia="zh-CN"/>
        </w:rPr>
      </w:pPr>
    </w:p>
    <w:tbl>
      <w:tblPr>
        <w:tblW w:w="8819" w:type="dxa"/>
        <w:tblInd w:w="738" w:type="dxa"/>
        <w:tblLayout w:type="fixed"/>
        <w:tblLook w:val="0000" w:firstRow="0" w:lastRow="0" w:firstColumn="0" w:lastColumn="0" w:noHBand="0" w:noVBand="0"/>
      </w:tblPr>
      <w:tblGrid>
        <w:gridCol w:w="6"/>
        <w:gridCol w:w="2673"/>
        <w:gridCol w:w="1371"/>
        <w:gridCol w:w="1653"/>
        <w:gridCol w:w="1693"/>
        <w:gridCol w:w="1334"/>
        <w:gridCol w:w="89"/>
      </w:tblGrid>
      <w:tr w:rsidR="00353FF8" w:rsidRPr="008C2F68" w:rsidTr="00EA2834">
        <w:trPr>
          <w:gridAfter w:val="1"/>
          <w:wAfter w:w="89" w:type="dxa"/>
        </w:trPr>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tcPr>
          <w:p w:rsidR="00353FF8" w:rsidRPr="008C2F68" w:rsidRDefault="00353FF8" w:rsidP="00EA2834">
            <w:pPr>
              <w:jc w:val="right"/>
              <w:rPr>
                <w:szCs w:val="22"/>
              </w:rPr>
            </w:pPr>
            <w:r w:rsidRPr="008C2F68">
              <w:rPr>
                <w:szCs w:val="22"/>
              </w:rPr>
              <w:t>Manufacturing of Polymeric product</w:t>
            </w:r>
          </w:p>
        </w:tc>
        <w:tc>
          <w:tcPr>
            <w:tcW w:w="1693" w:type="dxa"/>
          </w:tcPr>
          <w:p w:rsidR="00353FF8" w:rsidRPr="008C2F68" w:rsidRDefault="00353FF8" w:rsidP="00EA2834">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product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tcPr>
          <w:p w:rsidR="00353FF8" w:rsidRPr="008C2F68" w:rsidRDefault="00353FF8" w:rsidP="00EA2834">
            <w:pPr>
              <w:jc w:val="right"/>
              <w:rPr>
                <w:szCs w:val="22"/>
              </w:rPr>
            </w:pPr>
            <w:r w:rsidRPr="008C2F68">
              <w:rPr>
                <w:szCs w:val="22"/>
              </w:rPr>
              <w:t>RM’000</w:t>
            </w:r>
          </w:p>
        </w:tc>
        <w:tc>
          <w:tcPr>
            <w:tcW w:w="1693" w:type="dxa"/>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EA2834">
        <w:trPr>
          <w:gridAfter w:val="1"/>
          <w:wAfter w:w="89" w:type="dxa"/>
        </w:trPr>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tcPr>
          <w:p w:rsidR="00353FF8" w:rsidRPr="008C2F68" w:rsidRDefault="00353FF8" w:rsidP="00EA2834">
            <w:pPr>
              <w:jc w:val="right"/>
              <w:rPr>
                <w:szCs w:val="22"/>
              </w:rPr>
            </w:pPr>
          </w:p>
        </w:tc>
        <w:tc>
          <w:tcPr>
            <w:tcW w:w="1693" w:type="dxa"/>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353FF8" w:rsidRPr="008C2F68" w:rsidTr="00EA2834">
        <w:trPr>
          <w:gridAfter w:val="1"/>
          <w:wAfter w:w="89" w:type="dxa"/>
        </w:trPr>
        <w:tc>
          <w:tcPr>
            <w:tcW w:w="2679" w:type="dxa"/>
            <w:gridSpan w:val="2"/>
          </w:tcPr>
          <w:p w:rsidR="00353FF8" w:rsidRPr="008C2F68" w:rsidRDefault="00353FF8" w:rsidP="00EA2834">
            <w:pPr>
              <w:rPr>
                <w:szCs w:val="22"/>
                <w:lang w:eastAsia="zh-CN"/>
              </w:rPr>
            </w:pPr>
            <w:r w:rsidRPr="008C2F68">
              <w:rPr>
                <w:rFonts w:hint="eastAsia"/>
                <w:szCs w:val="22"/>
                <w:lang w:eastAsia="zh-CN"/>
              </w:rPr>
              <w:t>Sales (Gross)</w:t>
            </w:r>
          </w:p>
        </w:tc>
        <w:tc>
          <w:tcPr>
            <w:tcW w:w="1371" w:type="dxa"/>
          </w:tcPr>
          <w:p w:rsidR="00353FF8" w:rsidRPr="008C2F68" w:rsidRDefault="006E38BC" w:rsidP="00250F81">
            <w:pPr>
              <w:tabs>
                <w:tab w:val="clear" w:pos="720"/>
                <w:tab w:val="clear" w:pos="1440"/>
                <w:tab w:val="decimal" w:pos="1083"/>
              </w:tabs>
              <w:jc w:val="both"/>
              <w:rPr>
                <w:szCs w:val="22"/>
                <w:lang w:eastAsia="zh-CN"/>
              </w:rPr>
            </w:pPr>
            <w:r w:rsidRPr="008C2F68">
              <w:rPr>
                <w:szCs w:val="22"/>
                <w:lang w:eastAsia="zh-CN"/>
              </w:rPr>
              <w:t>2,</w:t>
            </w:r>
            <w:r w:rsidR="00250F81" w:rsidRPr="008C2F68">
              <w:rPr>
                <w:szCs w:val="22"/>
                <w:lang w:eastAsia="zh-CN"/>
              </w:rPr>
              <w:t>380</w:t>
            </w:r>
          </w:p>
        </w:tc>
        <w:tc>
          <w:tcPr>
            <w:tcW w:w="1653" w:type="dxa"/>
          </w:tcPr>
          <w:p w:rsidR="00353FF8" w:rsidRPr="008C2F68" w:rsidRDefault="006E38BC" w:rsidP="00250F81">
            <w:pPr>
              <w:tabs>
                <w:tab w:val="clear" w:pos="720"/>
                <w:tab w:val="clear" w:pos="1440"/>
                <w:tab w:val="decimal" w:pos="1332"/>
              </w:tabs>
              <w:jc w:val="both"/>
              <w:rPr>
                <w:szCs w:val="22"/>
                <w:lang w:eastAsia="zh-CN"/>
              </w:rPr>
            </w:pPr>
            <w:r w:rsidRPr="008C2F68">
              <w:rPr>
                <w:szCs w:val="22"/>
                <w:lang w:eastAsia="zh-CN"/>
              </w:rPr>
              <w:t>2</w:t>
            </w:r>
            <w:r w:rsidR="00250F81" w:rsidRPr="008C2F68">
              <w:rPr>
                <w:szCs w:val="22"/>
                <w:lang w:eastAsia="zh-CN"/>
              </w:rPr>
              <w:t>9</w:t>
            </w:r>
            <w:r w:rsidRPr="008C2F68">
              <w:rPr>
                <w:szCs w:val="22"/>
                <w:lang w:eastAsia="zh-CN"/>
              </w:rPr>
              <w:t>,</w:t>
            </w:r>
            <w:r w:rsidR="00250F81" w:rsidRPr="008C2F68">
              <w:rPr>
                <w:szCs w:val="22"/>
                <w:lang w:eastAsia="zh-CN"/>
              </w:rPr>
              <w:t>277</w:t>
            </w:r>
          </w:p>
        </w:tc>
        <w:tc>
          <w:tcPr>
            <w:tcW w:w="1693" w:type="dxa"/>
          </w:tcPr>
          <w:p w:rsidR="00353FF8" w:rsidRPr="008C2F68" w:rsidRDefault="00250F81" w:rsidP="00EA2834">
            <w:pPr>
              <w:tabs>
                <w:tab w:val="clear" w:pos="720"/>
                <w:tab w:val="clear" w:pos="1440"/>
                <w:tab w:val="decimal" w:pos="1389"/>
              </w:tabs>
              <w:ind w:right="-2"/>
              <w:jc w:val="both"/>
              <w:rPr>
                <w:szCs w:val="22"/>
                <w:lang w:eastAsia="zh-CN"/>
              </w:rPr>
            </w:pPr>
            <w:r w:rsidRPr="008C2F68">
              <w:rPr>
                <w:szCs w:val="22"/>
                <w:lang w:eastAsia="zh-CN"/>
              </w:rPr>
              <w:t>5,221</w:t>
            </w:r>
          </w:p>
        </w:tc>
        <w:tc>
          <w:tcPr>
            <w:tcW w:w="1334" w:type="dxa"/>
          </w:tcPr>
          <w:p w:rsidR="00353FF8" w:rsidRPr="008C2F68" w:rsidRDefault="00250F81" w:rsidP="00EA2834">
            <w:pPr>
              <w:tabs>
                <w:tab w:val="clear" w:pos="720"/>
                <w:tab w:val="clear" w:pos="1440"/>
                <w:tab w:val="decimal" w:pos="1062"/>
              </w:tabs>
              <w:jc w:val="both"/>
              <w:rPr>
                <w:szCs w:val="22"/>
                <w:lang w:eastAsia="zh-CN"/>
              </w:rPr>
            </w:pPr>
            <w:r w:rsidRPr="008C2F68">
              <w:rPr>
                <w:szCs w:val="22"/>
                <w:lang w:eastAsia="zh-CN"/>
              </w:rPr>
              <w:t>36,878</w:t>
            </w:r>
          </w:p>
        </w:tc>
      </w:tr>
      <w:tr w:rsidR="00353FF8" w:rsidRPr="008C2F68" w:rsidTr="00EA2834">
        <w:trPr>
          <w:gridAfter w:val="1"/>
          <w:wAfter w:w="89" w:type="dxa"/>
        </w:trPr>
        <w:tc>
          <w:tcPr>
            <w:tcW w:w="2679" w:type="dxa"/>
            <w:gridSpan w:val="2"/>
          </w:tcPr>
          <w:p w:rsidR="00353FF8" w:rsidRPr="008C2F68" w:rsidRDefault="00353FF8" w:rsidP="00EA2834">
            <w:pPr>
              <w:rPr>
                <w:szCs w:val="22"/>
              </w:rPr>
            </w:pPr>
            <w:r w:rsidRPr="008C2F68">
              <w:rPr>
                <w:szCs w:val="22"/>
              </w:rPr>
              <w:t>Inter-segment sales</w:t>
            </w:r>
          </w:p>
        </w:tc>
        <w:tc>
          <w:tcPr>
            <w:tcW w:w="1371" w:type="dxa"/>
            <w:tcBorders>
              <w:bottom w:val="single" w:sz="4" w:space="0" w:color="auto"/>
            </w:tcBorders>
          </w:tcPr>
          <w:p w:rsidR="00353FF8" w:rsidRPr="008C2F68" w:rsidRDefault="006E38BC" w:rsidP="00250F81">
            <w:pPr>
              <w:tabs>
                <w:tab w:val="clear" w:pos="720"/>
                <w:tab w:val="clear" w:pos="1440"/>
                <w:tab w:val="decimal" w:pos="1083"/>
              </w:tabs>
              <w:jc w:val="both"/>
              <w:rPr>
                <w:szCs w:val="22"/>
                <w:lang w:eastAsia="zh-CN"/>
              </w:rPr>
            </w:pPr>
            <w:r w:rsidRPr="008C2F68">
              <w:rPr>
                <w:szCs w:val="22"/>
                <w:lang w:eastAsia="zh-CN"/>
              </w:rPr>
              <w:t>(2,</w:t>
            </w:r>
            <w:r w:rsidR="00250F81" w:rsidRPr="008C2F68">
              <w:rPr>
                <w:szCs w:val="22"/>
                <w:lang w:eastAsia="zh-CN"/>
              </w:rPr>
              <w:t>319</w:t>
            </w:r>
            <w:r w:rsidRPr="008C2F68">
              <w:rPr>
                <w:szCs w:val="22"/>
                <w:lang w:eastAsia="zh-CN"/>
              </w:rPr>
              <w:t>)</w:t>
            </w:r>
          </w:p>
        </w:tc>
        <w:tc>
          <w:tcPr>
            <w:tcW w:w="1653" w:type="dxa"/>
            <w:tcBorders>
              <w:bottom w:val="single" w:sz="4" w:space="0" w:color="auto"/>
            </w:tcBorders>
          </w:tcPr>
          <w:p w:rsidR="00353FF8" w:rsidRPr="008C2F68" w:rsidRDefault="006E38BC" w:rsidP="00250F81">
            <w:pPr>
              <w:tabs>
                <w:tab w:val="clear" w:pos="720"/>
                <w:tab w:val="clear" w:pos="1440"/>
                <w:tab w:val="decimal" w:pos="1332"/>
              </w:tabs>
              <w:jc w:val="both"/>
              <w:rPr>
                <w:szCs w:val="22"/>
                <w:lang w:eastAsia="zh-CN"/>
              </w:rPr>
            </w:pPr>
            <w:r w:rsidRPr="008C2F68">
              <w:rPr>
                <w:szCs w:val="22"/>
                <w:lang w:eastAsia="zh-CN"/>
              </w:rPr>
              <w:t>(2,</w:t>
            </w:r>
            <w:r w:rsidR="00250F81" w:rsidRPr="008C2F68">
              <w:rPr>
                <w:szCs w:val="22"/>
                <w:lang w:eastAsia="zh-CN"/>
              </w:rPr>
              <w:t>841</w:t>
            </w:r>
            <w:r w:rsidRPr="008C2F68">
              <w:rPr>
                <w:szCs w:val="22"/>
                <w:lang w:eastAsia="zh-CN"/>
              </w:rPr>
              <w:t>)</w:t>
            </w:r>
          </w:p>
        </w:tc>
        <w:tc>
          <w:tcPr>
            <w:tcW w:w="1693" w:type="dxa"/>
            <w:tcBorders>
              <w:bottom w:val="single" w:sz="4" w:space="0" w:color="auto"/>
            </w:tcBorders>
          </w:tcPr>
          <w:p w:rsidR="00353FF8" w:rsidRPr="008C2F68" w:rsidRDefault="006E38BC" w:rsidP="00EA2834">
            <w:pPr>
              <w:tabs>
                <w:tab w:val="clear" w:pos="720"/>
                <w:tab w:val="clear" w:pos="1440"/>
                <w:tab w:val="decimal" w:pos="1389"/>
              </w:tabs>
              <w:ind w:right="-2"/>
              <w:jc w:val="both"/>
              <w:rPr>
                <w:szCs w:val="22"/>
                <w:lang w:eastAsia="zh-CN"/>
              </w:rPr>
            </w:pPr>
            <w:r w:rsidRPr="008C2F68">
              <w:rPr>
                <w:szCs w:val="22"/>
                <w:lang w:eastAsia="zh-CN"/>
              </w:rPr>
              <w:t>-</w:t>
            </w:r>
          </w:p>
        </w:tc>
        <w:tc>
          <w:tcPr>
            <w:tcW w:w="1334" w:type="dxa"/>
            <w:tcBorders>
              <w:bottom w:val="single" w:sz="4" w:space="0" w:color="auto"/>
            </w:tcBorders>
          </w:tcPr>
          <w:p w:rsidR="00353FF8" w:rsidRPr="008C2F68" w:rsidRDefault="00250F81" w:rsidP="006E38BC">
            <w:pPr>
              <w:tabs>
                <w:tab w:val="clear" w:pos="720"/>
                <w:tab w:val="clear" w:pos="1440"/>
                <w:tab w:val="decimal" w:pos="1062"/>
              </w:tabs>
              <w:jc w:val="both"/>
              <w:rPr>
                <w:szCs w:val="22"/>
                <w:lang w:eastAsia="zh-CN"/>
              </w:rPr>
            </w:pPr>
            <w:r w:rsidRPr="008C2F68">
              <w:rPr>
                <w:szCs w:val="22"/>
                <w:lang w:eastAsia="zh-CN"/>
              </w:rPr>
              <w:t>(5,160</w:t>
            </w:r>
            <w:r w:rsidR="006E38BC" w:rsidRPr="008C2F68">
              <w:rPr>
                <w:szCs w:val="22"/>
                <w:lang w:eastAsia="zh-CN"/>
              </w:rPr>
              <w:t>)</w:t>
            </w:r>
          </w:p>
        </w:tc>
      </w:tr>
      <w:tr w:rsidR="00353FF8" w:rsidRPr="008C2F68" w:rsidTr="00EA2834">
        <w:trPr>
          <w:gridAfter w:val="1"/>
          <w:wAfter w:w="89" w:type="dxa"/>
        </w:trPr>
        <w:tc>
          <w:tcPr>
            <w:tcW w:w="2679" w:type="dxa"/>
            <w:gridSpan w:val="2"/>
          </w:tcPr>
          <w:p w:rsidR="00353FF8" w:rsidRPr="008C2F68" w:rsidRDefault="00353FF8"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353FF8" w:rsidRPr="008C2F68" w:rsidRDefault="006E38BC" w:rsidP="006E38BC">
            <w:pPr>
              <w:tabs>
                <w:tab w:val="clear" w:pos="720"/>
                <w:tab w:val="clear" w:pos="1440"/>
                <w:tab w:val="decimal" w:pos="1083"/>
              </w:tabs>
              <w:jc w:val="both"/>
              <w:rPr>
                <w:szCs w:val="22"/>
                <w:lang w:eastAsia="zh-CN"/>
              </w:rPr>
            </w:pPr>
            <w:r w:rsidRPr="008C2F68">
              <w:rPr>
                <w:szCs w:val="22"/>
                <w:lang w:eastAsia="zh-CN"/>
              </w:rPr>
              <w:t>6</w:t>
            </w:r>
            <w:r w:rsidR="00250F81" w:rsidRPr="008C2F68">
              <w:rPr>
                <w:szCs w:val="22"/>
                <w:lang w:eastAsia="zh-CN"/>
              </w:rPr>
              <w:t>1</w:t>
            </w:r>
          </w:p>
        </w:tc>
        <w:tc>
          <w:tcPr>
            <w:tcW w:w="1653" w:type="dxa"/>
            <w:tcBorders>
              <w:top w:val="single" w:sz="4" w:space="0" w:color="auto"/>
            </w:tcBorders>
          </w:tcPr>
          <w:p w:rsidR="00353FF8" w:rsidRPr="008C2F68" w:rsidRDefault="006E38BC" w:rsidP="00EA2834">
            <w:pPr>
              <w:tabs>
                <w:tab w:val="clear" w:pos="720"/>
                <w:tab w:val="clear" w:pos="1440"/>
                <w:tab w:val="decimal" w:pos="1332"/>
              </w:tabs>
              <w:jc w:val="both"/>
              <w:rPr>
                <w:szCs w:val="22"/>
                <w:lang w:eastAsia="zh-CN"/>
              </w:rPr>
            </w:pPr>
            <w:r w:rsidRPr="008C2F68">
              <w:rPr>
                <w:szCs w:val="22"/>
                <w:lang w:eastAsia="zh-CN"/>
              </w:rPr>
              <w:t>2</w:t>
            </w:r>
            <w:r w:rsidR="00250F81" w:rsidRPr="008C2F68">
              <w:rPr>
                <w:szCs w:val="22"/>
                <w:lang w:eastAsia="zh-CN"/>
              </w:rPr>
              <w:t>6,436</w:t>
            </w:r>
          </w:p>
        </w:tc>
        <w:tc>
          <w:tcPr>
            <w:tcW w:w="1693" w:type="dxa"/>
            <w:tcBorders>
              <w:top w:val="single" w:sz="4" w:space="0" w:color="auto"/>
            </w:tcBorders>
          </w:tcPr>
          <w:p w:rsidR="00353FF8" w:rsidRPr="008C2F68" w:rsidRDefault="00250F81" w:rsidP="00EA2834">
            <w:pPr>
              <w:tabs>
                <w:tab w:val="clear" w:pos="720"/>
                <w:tab w:val="clear" w:pos="1440"/>
                <w:tab w:val="decimal" w:pos="1389"/>
              </w:tabs>
              <w:ind w:right="-2"/>
              <w:jc w:val="both"/>
              <w:rPr>
                <w:szCs w:val="22"/>
                <w:lang w:eastAsia="zh-CN"/>
              </w:rPr>
            </w:pPr>
            <w:r w:rsidRPr="008C2F68">
              <w:rPr>
                <w:szCs w:val="22"/>
                <w:lang w:eastAsia="zh-CN"/>
              </w:rPr>
              <w:t>5,221</w:t>
            </w:r>
          </w:p>
        </w:tc>
        <w:tc>
          <w:tcPr>
            <w:tcW w:w="1334" w:type="dxa"/>
            <w:tcBorders>
              <w:top w:val="single" w:sz="4" w:space="0" w:color="auto"/>
            </w:tcBorders>
          </w:tcPr>
          <w:p w:rsidR="00353FF8" w:rsidRPr="008C2F68" w:rsidRDefault="006E38BC" w:rsidP="00EA2834">
            <w:pPr>
              <w:tabs>
                <w:tab w:val="clear" w:pos="720"/>
                <w:tab w:val="clear" w:pos="1440"/>
                <w:tab w:val="decimal" w:pos="1062"/>
              </w:tabs>
              <w:jc w:val="both"/>
              <w:rPr>
                <w:szCs w:val="22"/>
                <w:lang w:eastAsia="zh-CN"/>
              </w:rPr>
            </w:pPr>
            <w:r w:rsidRPr="008C2F68">
              <w:rPr>
                <w:szCs w:val="22"/>
                <w:lang w:eastAsia="zh-CN"/>
              </w:rPr>
              <w:t>3</w:t>
            </w:r>
            <w:r w:rsidR="00250F81" w:rsidRPr="008C2F68">
              <w:rPr>
                <w:szCs w:val="22"/>
                <w:lang w:eastAsia="zh-CN"/>
              </w:rPr>
              <w:t>1,718</w:t>
            </w:r>
          </w:p>
        </w:tc>
      </w:tr>
      <w:tr w:rsidR="00353FF8" w:rsidRPr="008C2F68" w:rsidTr="00EA2834">
        <w:trPr>
          <w:gridAfter w:val="1"/>
          <w:wAfter w:w="89" w:type="dxa"/>
        </w:trPr>
        <w:tc>
          <w:tcPr>
            <w:tcW w:w="2679" w:type="dxa"/>
            <w:gridSpan w:val="2"/>
          </w:tcPr>
          <w:p w:rsidR="00353FF8" w:rsidRPr="008C2F68" w:rsidRDefault="00353FF8" w:rsidP="00EA2834">
            <w:pPr>
              <w:jc w:val="both"/>
              <w:rPr>
                <w:b/>
                <w:szCs w:val="22"/>
              </w:rPr>
            </w:pPr>
          </w:p>
        </w:tc>
        <w:tc>
          <w:tcPr>
            <w:tcW w:w="1371" w:type="dxa"/>
            <w:tcBorders>
              <w:top w:val="double" w:sz="4" w:space="0" w:color="auto"/>
            </w:tcBorders>
          </w:tcPr>
          <w:p w:rsidR="00353FF8" w:rsidRPr="008C2F68" w:rsidRDefault="00353FF8" w:rsidP="00EA2834">
            <w:pPr>
              <w:tabs>
                <w:tab w:val="decimal" w:pos="1083"/>
              </w:tabs>
              <w:jc w:val="both"/>
              <w:rPr>
                <w:szCs w:val="22"/>
              </w:rPr>
            </w:pPr>
          </w:p>
        </w:tc>
        <w:tc>
          <w:tcPr>
            <w:tcW w:w="1653" w:type="dxa"/>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tcBorders>
              <w:top w:val="double" w:sz="4" w:space="0" w:color="auto"/>
            </w:tcBorders>
          </w:tcPr>
          <w:p w:rsidR="00353FF8" w:rsidRPr="008C2F68" w:rsidRDefault="00353FF8" w:rsidP="00EA2834">
            <w:pPr>
              <w:tabs>
                <w:tab w:val="clear" w:pos="720"/>
                <w:tab w:val="clear" w:pos="1440"/>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clear" w:pos="720"/>
                <w:tab w:val="clear" w:pos="1440"/>
                <w:tab w:val="decimal" w:pos="1062"/>
              </w:tabs>
              <w:jc w:val="both"/>
              <w:rPr>
                <w:szCs w:val="22"/>
              </w:rPr>
            </w:pPr>
          </w:p>
        </w:tc>
      </w:tr>
      <w:tr w:rsidR="00353FF8" w:rsidRPr="008C2F68" w:rsidTr="00EA2834">
        <w:trPr>
          <w:gridAfter w:val="1"/>
          <w:wAfter w:w="89" w:type="dxa"/>
        </w:trPr>
        <w:tc>
          <w:tcPr>
            <w:tcW w:w="2679" w:type="dxa"/>
            <w:gridSpan w:val="2"/>
          </w:tcPr>
          <w:p w:rsidR="00353FF8" w:rsidRPr="008C2F68" w:rsidRDefault="00353FF8" w:rsidP="00EA2834">
            <w:pPr>
              <w:jc w:val="both"/>
              <w:rPr>
                <w:b/>
                <w:szCs w:val="22"/>
              </w:rPr>
            </w:pPr>
            <w:r w:rsidRPr="008C2F68">
              <w:rPr>
                <w:b/>
                <w:szCs w:val="22"/>
              </w:rPr>
              <w:t>RESULT</w:t>
            </w:r>
          </w:p>
        </w:tc>
        <w:tc>
          <w:tcPr>
            <w:tcW w:w="1371" w:type="dxa"/>
          </w:tcPr>
          <w:p w:rsidR="00353FF8" w:rsidRPr="008C2F68" w:rsidRDefault="00353FF8" w:rsidP="00EA2834">
            <w:pPr>
              <w:tabs>
                <w:tab w:val="decimal" w:pos="1083"/>
              </w:tabs>
              <w:jc w:val="both"/>
              <w:rPr>
                <w:szCs w:val="22"/>
              </w:rPr>
            </w:pPr>
          </w:p>
        </w:tc>
        <w:tc>
          <w:tcPr>
            <w:tcW w:w="1653" w:type="dxa"/>
          </w:tcPr>
          <w:p w:rsidR="00353FF8" w:rsidRPr="008C2F68" w:rsidRDefault="00353FF8" w:rsidP="00EA2834">
            <w:pPr>
              <w:tabs>
                <w:tab w:val="clear" w:pos="1440"/>
                <w:tab w:val="decimal" w:pos="1332"/>
              </w:tabs>
              <w:jc w:val="both"/>
              <w:rPr>
                <w:szCs w:val="22"/>
              </w:rPr>
            </w:pPr>
          </w:p>
        </w:tc>
        <w:tc>
          <w:tcPr>
            <w:tcW w:w="1693" w:type="dxa"/>
          </w:tcPr>
          <w:p w:rsidR="00353FF8" w:rsidRPr="008C2F68" w:rsidRDefault="00353FF8" w:rsidP="00EA2834">
            <w:pPr>
              <w:tabs>
                <w:tab w:val="clear" w:pos="720"/>
                <w:tab w:val="clear" w:pos="1440"/>
                <w:tab w:val="decimal" w:pos="1389"/>
              </w:tabs>
              <w:ind w:right="-2"/>
              <w:jc w:val="both"/>
              <w:rPr>
                <w:szCs w:val="22"/>
              </w:rPr>
            </w:pPr>
          </w:p>
        </w:tc>
        <w:tc>
          <w:tcPr>
            <w:tcW w:w="1334" w:type="dxa"/>
          </w:tcPr>
          <w:p w:rsidR="00353FF8" w:rsidRPr="008C2F68" w:rsidRDefault="00353FF8" w:rsidP="00EA2834">
            <w:pPr>
              <w:tabs>
                <w:tab w:val="clear" w:pos="720"/>
                <w:tab w:val="clear" w:pos="1440"/>
                <w:tab w:val="decimal" w:pos="1062"/>
              </w:tabs>
              <w:jc w:val="both"/>
              <w:rPr>
                <w:szCs w:val="22"/>
              </w:rPr>
            </w:pP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r w:rsidRPr="008C2F68">
              <w:rPr>
                <w:szCs w:val="22"/>
              </w:rPr>
              <w:t>Segment result</w:t>
            </w:r>
          </w:p>
        </w:tc>
        <w:tc>
          <w:tcPr>
            <w:tcW w:w="1371" w:type="dxa"/>
          </w:tcPr>
          <w:p w:rsidR="00353FF8" w:rsidRPr="008C2F68" w:rsidRDefault="00163D00" w:rsidP="00250F81">
            <w:pPr>
              <w:tabs>
                <w:tab w:val="clear" w:pos="720"/>
                <w:tab w:val="clear" w:pos="1440"/>
                <w:tab w:val="decimal" w:pos="1083"/>
              </w:tabs>
              <w:jc w:val="both"/>
              <w:rPr>
                <w:szCs w:val="22"/>
                <w:lang w:eastAsia="zh-CN"/>
              </w:rPr>
            </w:pPr>
            <w:r w:rsidRPr="008C2F68">
              <w:rPr>
                <w:szCs w:val="22"/>
                <w:lang w:eastAsia="zh-CN"/>
              </w:rPr>
              <w:t>(2</w:t>
            </w:r>
            <w:r w:rsidR="00250F81" w:rsidRPr="008C2F68">
              <w:rPr>
                <w:szCs w:val="22"/>
                <w:lang w:eastAsia="zh-CN"/>
              </w:rPr>
              <w:t>69</w:t>
            </w:r>
            <w:r w:rsidRPr="008C2F68">
              <w:rPr>
                <w:szCs w:val="22"/>
                <w:lang w:eastAsia="zh-CN"/>
              </w:rPr>
              <w:t>)</w:t>
            </w:r>
          </w:p>
        </w:tc>
        <w:tc>
          <w:tcPr>
            <w:tcW w:w="1653" w:type="dxa"/>
          </w:tcPr>
          <w:p w:rsidR="00353FF8" w:rsidRPr="008C2F68" w:rsidRDefault="00250F81" w:rsidP="00EA2834">
            <w:pPr>
              <w:tabs>
                <w:tab w:val="clear" w:pos="720"/>
                <w:tab w:val="clear" w:pos="1440"/>
                <w:tab w:val="decimal" w:pos="1332"/>
              </w:tabs>
              <w:jc w:val="both"/>
              <w:rPr>
                <w:szCs w:val="22"/>
                <w:lang w:eastAsia="zh-CN"/>
              </w:rPr>
            </w:pPr>
            <w:r w:rsidRPr="008C2F68">
              <w:rPr>
                <w:szCs w:val="22"/>
                <w:lang w:eastAsia="zh-CN"/>
              </w:rPr>
              <w:t>2,663</w:t>
            </w:r>
          </w:p>
        </w:tc>
        <w:tc>
          <w:tcPr>
            <w:tcW w:w="1693" w:type="dxa"/>
          </w:tcPr>
          <w:p w:rsidR="00353FF8" w:rsidRPr="008C2F68" w:rsidRDefault="00250F81" w:rsidP="00EA2834">
            <w:pPr>
              <w:tabs>
                <w:tab w:val="clear" w:pos="720"/>
                <w:tab w:val="clear" w:pos="1440"/>
                <w:tab w:val="decimal" w:pos="1389"/>
              </w:tabs>
              <w:ind w:right="-2"/>
              <w:jc w:val="both"/>
              <w:rPr>
                <w:szCs w:val="22"/>
                <w:lang w:eastAsia="zh-CN"/>
              </w:rPr>
            </w:pPr>
            <w:r w:rsidRPr="008C2F68">
              <w:rPr>
                <w:szCs w:val="22"/>
                <w:lang w:eastAsia="zh-CN"/>
              </w:rPr>
              <w:t>494</w:t>
            </w:r>
          </w:p>
        </w:tc>
        <w:tc>
          <w:tcPr>
            <w:tcW w:w="1334" w:type="dxa"/>
          </w:tcPr>
          <w:p w:rsidR="00353FF8" w:rsidRPr="008C2F68" w:rsidRDefault="00250F81" w:rsidP="00EA2834">
            <w:pPr>
              <w:tabs>
                <w:tab w:val="clear" w:pos="720"/>
                <w:tab w:val="clear" w:pos="1440"/>
                <w:tab w:val="decimal" w:pos="1062"/>
              </w:tabs>
              <w:jc w:val="both"/>
              <w:rPr>
                <w:szCs w:val="22"/>
                <w:lang w:eastAsia="zh-CN"/>
              </w:rPr>
            </w:pPr>
            <w:r w:rsidRPr="008C2F68">
              <w:rPr>
                <w:szCs w:val="22"/>
                <w:lang w:eastAsia="zh-CN"/>
              </w:rPr>
              <w:t>2,888</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r w:rsidRPr="008C2F68">
              <w:rPr>
                <w:szCs w:val="22"/>
              </w:rPr>
              <w:t xml:space="preserve">Finance costs </w:t>
            </w:r>
          </w:p>
        </w:tc>
        <w:tc>
          <w:tcPr>
            <w:tcW w:w="1371" w:type="dxa"/>
          </w:tcPr>
          <w:p w:rsidR="00353FF8" w:rsidRPr="008C2F68" w:rsidRDefault="00163D00" w:rsidP="00EA2834">
            <w:pPr>
              <w:tabs>
                <w:tab w:val="clear" w:pos="720"/>
                <w:tab w:val="clear" w:pos="1440"/>
                <w:tab w:val="decimal" w:pos="1083"/>
              </w:tabs>
              <w:jc w:val="both"/>
              <w:rPr>
                <w:szCs w:val="22"/>
                <w:lang w:eastAsia="zh-CN"/>
              </w:rPr>
            </w:pPr>
            <w:r w:rsidRPr="008C2F68">
              <w:rPr>
                <w:szCs w:val="22"/>
                <w:lang w:eastAsia="zh-CN"/>
              </w:rPr>
              <w:t>-</w:t>
            </w:r>
          </w:p>
        </w:tc>
        <w:tc>
          <w:tcPr>
            <w:tcW w:w="1653" w:type="dxa"/>
          </w:tcPr>
          <w:p w:rsidR="00353FF8" w:rsidRPr="008C2F68" w:rsidRDefault="00250F81" w:rsidP="00250F81">
            <w:pPr>
              <w:tabs>
                <w:tab w:val="clear" w:pos="720"/>
                <w:tab w:val="clear" w:pos="1440"/>
                <w:tab w:val="decimal" w:pos="1332"/>
              </w:tabs>
              <w:jc w:val="both"/>
              <w:rPr>
                <w:szCs w:val="22"/>
                <w:lang w:eastAsia="zh-CN"/>
              </w:rPr>
            </w:pPr>
            <w:r w:rsidRPr="008C2F68">
              <w:rPr>
                <w:szCs w:val="22"/>
                <w:lang w:eastAsia="zh-CN"/>
              </w:rPr>
              <w:t>(40</w:t>
            </w:r>
            <w:r w:rsidR="00163D00" w:rsidRPr="008C2F68">
              <w:rPr>
                <w:szCs w:val="22"/>
                <w:lang w:eastAsia="zh-CN"/>
              </w:rPr>
              <w:t>)</w:t>
            </w:r>
          </w:p>
        </w:tc>
        <w:tc>
          <w:tcPr>
            <w:tcW w:w="1693" w:type="dxa"/>
          </w:tcPr>
          <w:p w:rsidR="00353FF8" w:rsidRPr="008C2F68" w:rsidRDefault="00163D00" w:rsidP="00250F81">
            <w:pPr>
              <w:tabs>
                <w:tab w:val="clear" w:pos="720"/>
                <w:tab w:val="clear" w:pos="1440"/>
                <w:tab w:val="decimal" w:pos="1389"/>
              </w:tabs>
              <w:ind w:right="-2"/>
              <w:jc w:val="both"/>
              <w:rPr>
                <w:szCs w:val="22"/>
                <w:lang w:eastAsia="zh-CN"/>
              </w:rPr>
            </w:pPr>
            <w:r w:rsidRPr="008C2F68">
              <w:rPr>
                <w:szCs w:val="22"/>
                <w:lang w:eastAsia="zh-CN"/>
              </w:rPr>
              <w:t>(</w:t>
            </w:r>
            <w:r w:rsidR="00250F81" w:rsidRPr="008C2F68">
              <w:rPr>
                <w:szCs w:val="22"/>
                <w:lang w:eastAsia="zh-CN"/>
              </w:rPr>
              <w:t>7</w:t>
            </w:r>
            <w:r w:rsidRPr="008C2F68">
              <w:rPr>
                <w:szCs w:val="22"/>
                <w:lang w:eastAsia="zh-CN"/>
              </w:rPr>
              <w:t>)</w:t>
            </w:r>
          </w:p>
        </w:tc>
        <w:tc>
          <w:tcPr>
            <w:tcW w:w="1334" w:type="dxa"/>
            <w:shd w:val="clear" w:color="auto" w:fill="auto"/>
          </w:tcPr>
          <w:p w:rsidR="00353FF8" w:rsidRPr="008C2F68" w:rsidRDefault="00163D00" w:rsidP="00250F81">
            <w:pPr>
              <w:tabs>
                <w:tab w:val="clear" w:pos="720"/>
                <w:tab w:val="clear" w:pos="1440"/>
                <w:tab w:val="decimal" w:pos="1062"/>
              </w:tabs>
              <w:jc w:val="both"/>
              <w:rPr>
                <w:szCs w:val="22"/>
                <w:lang w:eastAsia="zh-CN"/>
              </w:rPr>
            </w:pPr>
            <w:r w:rsidRPr="008C2F68">
              <w:rPr>
                <w:szCs w:val="22"/>
                <w:lang w:eastAsia="zh-CN"/>
              </w:rPr>
              <w:t>(</w:t>
            </w:r>
            <w:r w:rsidR="00250F81" w:rsidRPr="008C2F68">
              <w:rPr>
                <w:szCs w:val="22"/>
                <w:lang w:eastAsia="zh-CN"/>
              </w:rPr>
              <w:t>47</w:t>
            </w:r>
            <w:r w:rsidRPr="008C2F68">
              <w:rPr>
                <w:szCs w:val="22"/>
                <w:lang w:eastAsia="zh-CN"/>
              </w:rPr>
              <w:t>)</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lang w:eastAsia="zh-CN"/>
              </w:rPr>
            </w:pPr>
            <w:r w:rsidRPr="008C2F68">
              <w:rPr>
                <w:rFonts w:hint="eastAsia"/>
                <w:szCs w:val="22"/>
                <w:lang w:eastAsia="zh-CN"/>
              </w:rPr>
              <w:t>Share of profit in a jointly controlled entity</w:t>
            </w:r>
          </w:p>
        </w:tc>
        <w:tc>
          <w:tcPr>
            <w:tcW w:w="1371" w:type="dxa"/>
          </w:tcPr>
          <w:p w:rsidR="00353FF8" w:rsidRPr="008C2F68" w:rsidRDefault="00353FF8" w:rsidP="00EA2834">
            <w:pPr>
              <w:tabs>
                <w:tab w:val="clear" w:pos="720"/>
                <w:tab w:val="clear" w:pos="1440"/>
                <w:tab w:val="decimal" w:pos="1083"/>
              </w:tabs>
              <w:jc w:val="both"/>
              <w:rPr>
                <w:szCs w:val="22"/>
                <w:lang w:eastAsia="zh-CN"/>
              </w:rPr>
            </w:pPr>
          </w:p>
          <w:p w:rsidR="00163D00" w:rsidRPr="008C2F68" w:rsidRDefault="00163D00" w:rsidP="00EA2834">
            <w:pPr>
              <w:tabs>
                <w:tab w:val="clear" w:pos="720"/>
                <w:tab w:val="clear" w:pos="1440"/>
                <w:tab w:val="decimal" w:pos="1083"/>
              </w:tabs>
              <w:jc w:val="both"/>
              <w:rPr>
                <w:szCs w:val="22"/>
                <w:lang w:eastAsia="zh-CN"/>
              </w:rPr>
            </w:pPr>
            <w:r w:rsidRPr="008C2F68">
              <w:rPr>
                <w:szCs w:val="22"/>
                <w:lang w:eastAsia="zh-CN"/>
              </w:rPr>
              <w:t>1</w:t>
            </w:r>
          </w:p>
        </w:tc>
        <w:tc>
          <w:tcPr>
            <w:tcW w:w="1653" w:type="dxa"/>
          </w:tcPr>
          <w:p w:rsidR="00353FF8" w:rsidRPr="008C2F68" w:rsidRDefault="00353FF8" w:rsidP="00EA2834">
            <w:pPr>
              <w:tabs>
                <w:tab w:val="clear" w:pos="720"/>
                <w:tab w:val="clear" w:pos="1440"/>
                <w:tab w:val="decimal" w:pos="1332"/>
              </w:tabs>
              <w:jc w:val="both"/>
              <w:rPr>
                <w:szCs w:val="22"/>
                <w:lang w:eastAsia="zh-CN"/>
              </w:rPr>
            </w:pPr>
          </w:p>
          <w:p w:rsidR="00163D00" w:rsidRPr="008C2F68" w:rsidRDefault="00163D00" w:rsidP="00EA2834">
            <w:pPr>
              <w:tabs>
                <w:tab w:val="clear" w:pos="720"/>
                <w:tab w:val="clear" w:pos="1440"/>
                <w:tab w:val="decimal" w:pos="1332"/>
              </w:tabs>
              <w:jc w:val="both"/>
              <w:rPr>
                <w:szCs w:val="22"/>
                <w:lang w:eastAsia="zh-CN"/>
              </w:rPr>
            </w:pPr>
            <w:r w:rsidRPr="008C2F68">
              <w:rPr>
                <w:szCs w:val="22"/>
                <w:lang w:eastAsia="zh-CN"/>
              </w:rPr>
              <w:t>-</w:t>
            </w:r>
          </w:p>
        </w:tc>
        <w:tc>
          <w:tcPr>
            <w:tcW w:w="1693" w:type="dxa"/>
          </w:tcPr>
          <w:p w:rsidR="00353FF8" w:rsidRPr="008C2F68" w:rsidRDefault="00353FF8" w:rsidP="00EA2834">
            <w:pPr>
              <w:tabs>
                <w:tab w:val="clear" w:pos="720"/>
                <w:tab w:val="clear" w:pos="1440"/>
                <w:tab w:val="decimal" w:pos="1389"/>
              </w:tabs>
              <w:ind w:right="-2"/>
              <w:jc w:val="both"/>
              <w:rPr>
                <w:szCs w:val="22"/>
                <w:lang w:eastAsia="zh-CN"/>
              </w:rPr>
            </w:pPr>
          </w:p>
          <w:p w:rsidR="00163D00" w:rsidRPr="008C2F68" w:rsidRDefault="00163D00" w:rsidP="00EA2834">
            <w:pPr>
              <w:tabs>
                <w:tab w:val="clear" w:pos="720"/>
                <w:tab w:val="clear" w:pos="1440"/>
                <w:tab w:val="decimal" w:pos="1389"/>
              </w:tabs>
              <w:ind w:right="-2"/>
              <w:jc w:val="both"/>
              <w:rPr>
                <w:szCs w:val="22"/>
                <w:lang w:eastAsia="zh-CN"/>
              </w:rPr>
            </w:pPr>
            <w:r w:rsidRPr="008C2F68">
              <w:rPr>
                <w:szCs w:val="22"/>
                <w:lang w:eastAsia="zh-CN"/>
              </w:rPr>
              <w:t>-</w:t>
            </w:r>
          </w:p>
        </w:tc>
        <w:tc>
          <w:tcPr>
            <w:tcW w:w="1334" w:type="dxa"/>
            <w:shd w:val="clear" w:color="auto" w:fill="auto"/>
          </w:tcPr>
          <w:p w:rsidR="00353FF8" w:rsidRPr="008C2F68" w:rsidRDefault="00353FF8" w:rsidP="00EA2834">
            <w:pPr>
              <w:tabs>
                <w:tab w:val="clear" w:pos="720"/>
                <w:tab w:val="clear" w:pos="1440"/>
                <w:tab w:val="decimal" w:pos="1062"/>
              </w:tabs>
              <w:jc w:val="both"/>
              <w:rPr>
                <w:szCs w:val="22"/>
                <w:lang w:eastAsia="zh-CN"/>
              </w:rPr>
            </w:pPr>
          </w:p>
          <w:p w:rsidR="00163D00" w:rsidRPr="008C2F68" w:rsidRDefault="00163D00" w:rsidP="00EA2834">
            <w:pPr>
              <w:tabs>
                <w:tab w:val="clear" w:pos="720"/>
                <w:tab w:val="clear" w:pos="1440"/>
                <w:tab w:val="decimal" w:pos="1062"/>
              </w:tabs>
              <w:jc w:val="both"/>
              <w:rPr>
                <w:szCs w:val="22"/>
                <w:lang w:eastAsia="zh-CN"/>
              </w:rPr>
            </w:pPr>
            <w:r w:rsidRPr="008C2F68">
              <w:rPr>
                <w:szCs w:val="22"/>
                <w:lang w:eastAsia="zh-CN"/>
              </w:rPr>
              <w:t>1</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r w:rsidRPr="008C2F68">
              <w:rPr>
                <w:szCs w:val="22"/>
              </w:rPr>
              <w:t xml:space="preserve">(Loss)/Profit before tax </w:t>
            </w:r>
          </w:p>
        </w:tc>
        <w:tc>
          <w:tcPr>
            <w:tcW w:w="1371" w:type="dxa"/>
            <w:tcBorders>
              <w:top w:val="single" w:sz="4" w:space="0" w:color="auto"/>
            </w:tcBorders>
          </w:tcPr>
          <w:p w:rsidR="00353FF8" w:rsidRPr="008C2F68" w:rsidRDefault="00163D00" w:rsidP="00F56936">
            <w:pPr>
              <w:tabs>
                <w:tab w:val="clear" w:pos="720"/>
                <w:tab w:val="clear" w:pos="1440"/>
                <w:tab w:val="decimal" w:pos="1083"/>
              </w:tabs>
              <w:jc w:val="both"/>
              <w:rPr>
                <w:szCs w:val="22"/>
                <w:lang w:eastAsia="zh-CN"/>
              </w:rPr>
            </w:pPr>
            <w:r w:rsidRPr="008C2F68">
              <w:rPr>
                <w:szCs w:val="22"/>
                <w:lang w:eastAsia="zh-CN"/>
              </w:rPr>
              <w:t>(2</w:t>
            </w:r>
            <w:r w:rsidR="000938D3" w:rsidRPr="008C2F68">
              <w:rPr>
                <w:szCs w:val="22"/>
                <w:lang w:eastAsia="zh-CN"/>
              </w:rPr>
              <w:t>6</w:t>
            </w:r>
            <w:r w:rsidR="00F56936" w:rsidRPr="008C2F68">
              <w:rPr>
                <w:szCs w:val="22"/>
                <w:lang w:eastAsia="zh-CN"/>
              </w:rPr>
              <w:t>8</w:t>
            </w:r>
            <w:r w:rsidRPr="008C2F68">
              <w:rPr>
                <w:szCs w:val="22"/>
                <w:lang w:eastAsia="zh-CN"/>
              </w:rPr>
              <w:t>)</w:t>
            </w:r>
          </w:p>
        </w:tc>
        <w:tc>
          <w:tcPr>
            <w:tcW w:w="1653" w:type="dxa"/>
            <w:tcBorders>
              <w:top w:val="single" w:sz="4" w:space="0" w:color="auto"/>
            </w:tcBorders>
          </w:tcPr>
          <w:p w:rsidR="00353FF8" w:rsidRPr="008C2F68" w:rsidRDefault="00163D00" w:rsidP="00EA2834">
            <w:pPr>
              <w:tabs>
                <w:tab w:val="clear" w:pos="720"/>
                <w:tab w:val="clear" w:pos="1440"/>
                <w:tab w:val="decimal" w:pos="1332"/>
              </w:tabs>
              <w:jc w:val="both"/>
              <w:rPr>
                <w:szCs w:val="22"/>
                <w:lang w:eastAsia="zh-CN"/>
              </w:rPr>
            </w:pPr>
            <w:r w:rsidRPr="008C2F68">
              <w:rPr>
                <w:szCs w:val="22"/>
                <w:lang w:eastAsia="zh-CN"/>
              </w:rPr>
              <w:t>2,</w:t>
            </w:r>
            <w:r w:rsidR="000938D3" w:rsidRPr="008C2F68">
              <w:rPr>
                <w:szCs w:val="22"/>
                <w:lang w:eastAsia="zh-CN"/>
              </w:rPr>
              <w:t>623</w:t>
            </w:r>
          </w:p>
        </w:tc>
        <w:tc>
          <w:tcPr>
            <w:tcW w:w="1693" w:type="dxa"/>
            <w:tcBorders>
              <w:top w:val="single" w:sz="4" w:space="0" w:color="auto"/>
            </w:tcBorders>
          </w:tcPr>
          <w:p w:rsidR="00353FF8" w:rsidRPr="008C2F68" w:rsidRDefault="000938D3" w:rsidP="00EA2834">
            <w:pPr>
              <w:tabs>
                <w:tab w:val="clear" w:pos="720"/>
                <w:tab w:val="clear" w:pos="1440"/>
                <w:tab w:val="decimal" w:pos="1389"/>
              </w:tabs>
              <w:ind w:right="-2"/>
              <w:jc w:val="both"/>
              <w:rPr>
                <w:szCs w:val="22"/>
                <w:lang w:eastAsia="zh-CN"/>
              </w:rPr>
            </w:pPr>
            <w:r w:rsidRPr="008C2F68">
              <w:rPr>
                <w:szCs w:val="22"/>
                <w:lang w:eastAsia="zh-CN"/>
              </w:rPr>
              <w:t>487</w:t>
            </w:r>
          </w:p>
        </w:tc>
        <w:tc>
          <w:tcPr>
            <w:tcW w:w="1334" w:type="dxa"/>
            <w:tcBorders>
              <w:top w:val="single" w:sz="4" w:space="0" w:color="auto"/>
            </w:tcBorders>
            <w:shd w:val="clear" w:color="auto" w:fill="auto"/>
          </w:tcPr>
          <w:p w:rsidR="00353FF8" w:rsidRPr="008C2F68" w:rsidRDefault="000938D3" w:rsidP="00EA2834">
            <w:pPr>
              <w:tabs>
                <w:tab w:val="clear" w:pos="720"/>
                <w:tab w:val="clear" w:pos="1440"/>
                <w:tab w:val="decimal" w:pos="1062"/>
              </w:tabs>
              <w:jc w:val="both"/>
              <w:rPr>
                <w:szCs w:val="22"/>
                <w:lang w:eastAsia="zh-CN"/>
              </w:rPr>
            </w:pPr>
            <w:r w:rsidRPr="008C2F68">
              <w:rPr>
                <w:szCs w:val="22"/>
                <w:lang w:eastAsia="zh-CN"/>
              </w:rPr>
              <w:t>2,842</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r w:rsidRPr="008C2F68">
              <w:rPr>
                <w:szCs w:val="22"/>
              </w:rPr>
              <w:t>Tax expense</w:t>
            </w:r>
          </w:p>
        </w:tc>
        <w:tc>
          <w:tcPr>
            <w:tcW w:w="1371" w:type="dxa"/>
            <w:tcBorders>
              <w:bottom w:val="single" w:sz="4" w:space="0" w:color="auto"/>
            </w:tcBorders>
          </w:tcPr>
          <w:p w:rsidR="00353FF8" w:rsidRPr="008C2F68" w:rsidRDefault="00163D00" w:rsidP="000938D3">
            <w:pPr>
              <w:tabs>
                <w:tab w:val="clear" w:pos="720"/>
                <w:tab w:val="clear" w:pos="1440"/>
                <w:tab w:val="decimal" w:pos="1083"/>
              </w:tabs>
              <w:jc w:val="both"/>
              <w:rPr>
                <w:szCs w:val="22"/>
                <w:lang w:eastAsia="zh-CN"/>
              </w:rPr>
            </w:pPr>
            <w:r w:rsidRPr="008C2F68">
              <w:rPr>
                <w:szCs w:val="22"/>
                <w:lang w:eastAsia="zh-CN"/>
              </w:rPr>
              <w:t>(</w:t>
            </w:r>
            <w:r w:rsidR="000938D3" w:rsidRPr="008C2F68">
              <w:rPr>
                <w:szCs w:val="22"/>
                <w:lang w:eastAsia="zh-CN"/>
              </w:rPr>
              <w:t>80</w:t>
            </w:r>
            <w:r w:rsidRPr="008C2F68">
              <w:rPr>
                <w:szCs w:val="22"/>
                <w:lang w:eastAsia="zh-CN"/>
              </w:rPr>
              <w:t>)</w:t>
            </w:r>
          </w:p>
        </w:tc>
        <w:tc>
          <w:tcPr>
            <w:tcW w:w="1653" w:type="dxa"/>
            <w:tcBorders>
              <w:bottom w:val="single" w:sz="4" w:space="0" w:color="auto"/>
            </w:tcBorders>
          </w:tcPr>
          <w:p w:rsidR="00353FF8" w:rsidRPr="008C2F68" w:rsidRDefault="000938D3" w:rsidP="000938D3">
            <w:pPr>
              <w:tabs>
                <w:tab w:val="clear" w:pos="720"/>
                <w:tab w:val="clear" w:pos="1440"/>
                <w:tab w:val="decimal" w:pos="1332"/>
              </w:tabs>
              <w:jc w:val="both"/>
              <w:rPr>
                <w:szCs w:val="22"/>
                <w:lang w:eastAsia="zh-CN"/>
              </w:rPr>
            </w:pPr>
            <w:r w:rsidRPr="008C2F68">
              <w:rPr>
                <w:szCs w:val="22"/>
                <w:lang w:eastAsia="zh-CN"/>
              </w:rPr>
              <w:t>(660</w:t>
            </w:r>
            <w:r w:rsidR="00163D00" w:rsidRPr="008C2F68">
              <w:rPr>
                <w:szCs w:val="22"/>
                <w:lang w:eastAsia="zh-CN"/>
              </w:rPr>
              <w:t>)</w:t>
            </w:r>
          </w:p>
        </w:tc>
        <w:tc>
          <w:tcPr>
            <w:tcW w:w="1693" w:type="dxa"/>
            <w:tcBorders>
              <w:bottom w:val="single" w:sz="4" w:space="0" w:color="auto"/>
            </w:tcBorders>
          </w:tcPr>
          <w:p w:rsidR="00353FF8" w:rsidRPr="008C2F68" w:rsidRDefault="00163D00" w:rsidP="000938D3">
            <w:pPr>
              <w:tabs>
                <w:tab w:val="clear" w:pos="720"/>
                <w:tab w:val="clear" w:pos="1440"/>
                <w:tab w:val="decimal" w:pos="1389"/>
              </w:tabs>
              <w:ind w:right="-2"/>
              <w:jc w:val="both"/>
              <w:rPr>
                <w:szCs w:val="22"/>
                <w:lang w:eastAsia="zh-CN"/>
              </w:rPr>
            </w:pPr>
            <w:r w:rsidRPr="008C2F68">
              <w:rPr>
                <w:szCs w:val="22"/>
                <w:lang w:eastAsia="zh-CN"/>
              </w:rPr>
              <w:t>(</w:t>
            </w:r>
            <w:r w:rsidR="000938D3" w:rsidRPr="008C2F68">
              <w:rPr>
                <w:szCs w:val="22"/>
                <w:lang w:eastAsia="zh-CN"/>
              </w:rPr>
              <w:t>82</w:t>
            </w:r>
            <w:r w:rsidRPr="008C2F68">
              <w:rPr>
                <w:szCs w:val="22"/>
                <w:lang w:eastAsia="zh-CN"/>
              </w:rPr>
              <w:t>)</w:t>
            </w:r>
          </w:p>
        </w:tc>
        <w:tc>
          <w:tcPr>
            <w:tcW w:w="1334" w:type="dxa"/>
            <w:tcBorders>
              <w:bottom w:val="single" w:sz="4" w:space="0" w:color="auto"/>
            </w:tcBorders>
            <w:shd w:val="clear" w:color="auto" w:fill="auto"/>
          </w:tcPr>
          <w:p w:rsidR="00353FF8" w:rsidRPr="008C2F68" w:rsidRDefault="000938D3" w:rsidP="00EA2834">
            <w:pPr>
              <w:tabs>
                <w:tab w:val="clear" w:pos="720"/>
                <w:tab w:val="clear" w:pos="1440"/>
                <w:tab w:val="decimal" w:pos="1062"/>
              </w:tabs>
              <w:jc w:val="both"/>
              <w:rPr>
                <w:szCs w:val="22"/>
                <w:lang w:eastAsia="zh-CN"/>
              </w:rPr>
            </w:pPr>
            <w:r w:rsidRPr="008C2F68">
              <w:rPr>
                <w:szCs w:val="22"/>
                <w:lang w:eastAsia="zh-CN"/>
              </w:rPr>
              <w:t>(822</w:t>
            </w:r>
            <w:r w:rsidR="00163D00" w:rsidRPr="008C2F68">
              <w:rPr>
                <w:szCs w:val="22"/>
                <w:lang w:eastAsia="zh-CN"/>
              </w:rPr>
              <w:t>)</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353FF8" w:rsidRPr="008C2F68" w:rsidRDefault="000938D3" w:rsidP="000938D3">
            <w:pPr>
              <w:tabs>
                <w:tab w:val="clear" w:pos="720"/>
                <w:tab w:val="clear" w:pos="1440"/>
                <w:tab w:val="decimal" w:pos="1083"/>
              </w:tabs>
              <w:jc w:val="both"/>
              <w:rPr>
                <w:szCs w:val="22"/>
                <w:lang w:eastAsia="zh-CN"/>
              </w:rPr>
            </w:pPr>
            <w:r w:rsidRPr="008C2F68">
              <w:rPr>
                <w:szCs w:val="22"/>
                <w:lang w:eastAsia="zh-CN"/>
              </w:rPr>
              <w:t>(348</w:t>
            </w:r>
            <w:r w:rsidR="00163D00" w:rsidRPr="008C2F68">
              <w:rPr>
                <w:szCs w:val="22"/>
                <w:lang w:eastAsia="zh-CN"/>
              </w:rPr>
              <w:t>)</w:t>
            </w:r>
          </w:p>
        </w:tc>
        <w:tc>
          <w:tcPr>
            <w:tcW w:w="1653" w:type="dxa"/>
            <w:tcBorders>
              <w:top w:val="single" w:sz="4" w:space="0" w:color="auto"/>
              <w:bottom w:val="double" w:sz="4" w:space="0" w:color="auto"/>
            </w:tcBorders>
          </w:tcPr>
          <w:p w:rsidR="00353FF8" w:rsidRPr="008C2F68" w:rsidRDefault="000938D3" w:rsidP="00EA2834">
            <w:pPr>
              <w:tabs>
                <w:tab w:val="clear" w:pos="720"/>
                <w:tab w:val="clear" w:pos="1440"/>
                <w:tab w:val="decimal" w:pos="1332"/>
              </w:tabs>
              <w:jc w:val="both"/>
              <w:rPr>
                <w:szCs w:val="22"/>
                <w:lang w:eastAsia="zh-CN"/>
              </w:rPr>
            </w:pPr>
            <w:r w:rsidRPr="008C2F68">
              <w:rPr>
                <w:szCs w:val="22"/>
                <w:lang w:eastAsia="zh-CN"/>
              </w:rPr>
              <w:t>1,963</w:t>
            </w:r>
          </w:p>
        </w:tc>
        <w:tc>
          <w:tcPr>
            <w:tcW w:w="1693" w:type="dxa"/>
            <w:tcBorders>
              <w:top w:val="single" w:sz="4" w:space="0" w:color="auto"/>
              <w:bottom w:val="double" w:sz="4" w:space="0" w:color="auto"/>
            </w:tcBorders>
          </w:tcPr>
          <w:p w:rsidR="00353FF8" w:rsidRPr="008C2F68" w:rsidRDefault="000938D3" w:rsidP="00EA2834">
            <w:pPr>
              <w:tabs>
                <w:tab w:val="clear" w:pos="720"/>
                <w:tab w:val="clear" w:pos="1440"/>
                <w:tab w:val="decimal" w:pos="1389"/>
              </w:tabs>
              <w:ind w:right="-2"/>
              <w:jc w:val="both"/>
              <w:rPr>
                <w:szCs w:val="22"/>
                <w:lang w:eastAsia="zh-CN"/>
              </w:rPr>
            </w:pPr>
            <w:r w:rsidRPr="008C2F68">
              <w:rPr>
                <w:szCs w:val="22"/>
                <w:lang w:eastAsia="zh-CN"/>
              </w:rPr>
              <w:t>405</w:t>
            </w:r>
          </w:p>
        </w:tc>
        <w:tc>
          <w:tcPr>
            <w:tcW w:w="1334" w:type="dxa"/>
            <w:tcBorders>
              <w:top w:val="single" w:sz="4" w:space="0" w:color="auto"/>
              <w:bottom w:val="double" w:sz="4" w:space="0" w:color="auto"/>
            </w:tcBorders>
            <w:shd w:val="clear" w:color="auto" w:fill="auto"/>
          </w:tcPr>
          <w:p w:rsidR="00353FF8" w:rsidRPr="008C2F68" w:rsidRDefault="000938D3" w:rsidP="00EA2834">
            <w:pPr>
              <w:tabs>
                <w:tab w:val="clear" w:pos="720"/>
                <w:tab w:val="clear" w:pos="1440"/>
                <w:tab w:val="decimal" w:pos="1062"/>
              </w:tabs>
              <w:jc w:val="both"/>
              <w:rPr>
                <w:szCs w:val="22"/>
                <w:lang w:eastAsia="zh-CN"/>
              </w:rPr>
            </w:pPr>
            <w:r w:rsidRPr="008C2F68">
              <w:rPr>
                <w:szCs w:val="22"/>
                <w:lang w:eastAsia="zh-CN"/>
              </w:rPr>
              <w:t>2,020</w:t>
            </w:r>
          </w:p>
        </w:tc>
      </w:tr>
      <w:tr w:rsidR="00353FF8" w:rsidRPr="008C2F68" w:rsidTr="00EA2834">
        <w:trPr>
          <w:gridAfter w:val="1"/>
          <w:wAfter w:w="89" w:type="dxa"/>
        </w:trPr>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EA2834">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tcPr>
          <w:p w:rsidR="00353FF8" w:rsidRPr="008C2F68" w:rsidRDefault="00353FF8" w:rsidP="00EA2834">
            <w:pPr>
              <w:tabs>
                <w:tab w:val="clear" w:pos="720"/>
                <w:tab w:val="clear" w:pos="1440"/>
                <w:tab w:val="decimal" w:pos="1332"/>
              </w:tabs>
              <w:jc w:val="both"/>
              <w:rPr>
                <w:szCs w:val="22"/>
                <w:lang w:eastAsia="zh-CN"/>
              </w:rPr>
            </w:pPr>
          </w:p>
        </w:tc>
        <w:tc>
          <w:tcPr>
            <w:tcW w:w="1693" w:type="dxa"/>
          </w:tcPr>
          <w:p w:rsidR="00353FF8" w:rsidRPr="008C2F68" w:rsidRDefault="00353FF8" w:rsidP="00EA2834">
            <w:pPr>
              <w:tabs>
                <w:tab w:val="clear" w:pos="720"/>
                <w:tab w:val="clear" w:pos="1440"/>
                <w:tab w:val="decimal" w:pos="1389"/>
              </w:tabs>
              <w:ind w:right="-2"/>
              <w:jc w:val="both"/>
              <w:rPr>
                <w:szCs w:val="22"/>
                <w:lang w:eastAsia="zh-CN"/>
              </w:rPr>
            </w:pPr>
          </w:p>
        </w:tc>
        <w:tc>
          <w:tcPr>
            <w:tcW w:w="1423" w:type="dxa"/>
            <w:gridSpan w:val="2"/>
          </w:tcPr>
          <w:p w:rsidR="00353FF8" w:rsidRPr="008C2F68" w:rsidRDefault="00353FF8" w:rsidP="00EA2834">
            <w:pPr>
              <w:tabs>
                <w:tab w:val="clear" w:pos="720"/>
                <w:tab w:val="clear" w:pos="1440"/>
                <w:tab w:val="decimal" w:pos="1062"/>
              </w:tabs>
              <w:jc w:val="both"/>
              <w:rPr>
                <w:szCs w:val="22"/>
                <w:lang w:eastAsia="zh-CN"/>
              </w:rPr>
            </w:pPr>
          </w:p>
        </w:tc>
      </w:tr>
      <w:tr w:rsidR="006E38BC" w:rsidRPr="008C2F68" w:rsidTr="00EA2834">
        <w:trPr>
          <w:gridBefore w:val="1"/>
          <w:wBefore w:w="6" w:type="dxa"/>
        </w:trPr>
        <w:tc>
          <w:tcPr>
            <w:tcW w:w="2673" w:type="dxa"/>
          </w:tcPr>
          <w:p w:rsidR="006E38BC" w:rsidRPr="008C2F68" w:rsidRDefault="006E38BC" w:rsidP="00EA2834">
            <w:pPr>
              <w:jc w:val="both"/>
              <w:rPr>
                <w:szCs w:val="22"/>
              </w:rPr>
            </w:pPr>
            <w:r w:rsidRPr="008C2F68">
              <w:rPr>
                <w:szCs w:val="22"/>
              </w:rPr>
              <w:t>Segment assets</w:t>
            </w:r>
          </w:p>
        </w:tc>
        <w:tc>
          <w:tcPr>
            <w:tcW w:w="1371" w:type="dxa"/>
          </w:tcPr>
          <w:p w:rsidR="006E38BC" w:rsidRPr="008C2F68" w:rsidRDefault="000938D3" w:rsidP="006B5C95">
            <w:pPr>
              <w:tabs>
                <w:tab w:val="clear" w:pos="720"/>
                <w:tab w:val="clear" w:pos="1440"/>
                <w:tab w:val="decimal" w:pos="1083"/>
              </w:tabs>
              <w:jc w:val="both"/>
              <w:rPr>
                <w:szCs w:val="22"/>
                <w:lang w:eastAsia="zh-CN"/>
              </w:rPr>
            </w:pPr>
            <w:r w:rsidRPr="008C2F68">
              <w:rPr>
                <w:szCs w:val="22"/>
                <w:lang w:eastAsia="zh-CN"/>
              </w:rPr>
              <w:t>15,982</w:t>
            </w:r>
          </w:p>
        </w:tc>
        <w:tc>
          <w:tcPr>
            <w:tcW w:w="1653" w:type="dxa"/>
          </w:tcPr>
          <w:p w:rsidR="006E38BC" w:rsidRPr="008C2F68" w:rsidRDefault="000938D3" w:rsidP="006B5C95">
            <w:pPr>
              <w:jc w:val="right"/>
              <w:rPr>
                <w:szCs w:val="22"/>
                <w:lang w:eastAsia="zh-CN"/>
              </w:rPr>
            </w:pPr>
            <w:r w:rsidRPr="008C2F68">
              <w:rPr>
                <w:szCs w:val="22"/>
                <w:lang w:eastAsia="zh-CN"/>
              </w:rPr>
              <w:t>63,015</w:t>
            </w:r>
          </w:p>
        </w:tc>
        <w:tc>
          <w:tcPr>
            <w:tcW w:w="1693" w:type="dxa"/>
          </w:tcPr>
          <w:p w:rsidR="006E38BC" w:rsidRPr="008C2F68" w:rsidRDefault="000938D3" w:rsidP="006B5C95">
            <w:pPr>
              <w:tabs>
                <w:tab w:val="clear" w:pos="720"/>
                <w:tab w:val="clear" w:pos="1440"/>
              </w:tabs>
              <w:ind w:right="72"/>
              <w:jc w:val="right"/>
              <w:rPr>
                <w:szCs w:val="22"/>
                <w:lang w:eastAsia="zh-CN"/>
              </w:rPr>
            </w:pPr>
            <w:r w:rsidRPr="008C2F68">
              <w:rPr>
                <w:szCs w:val="22"/>
                <w:lang w:eastAsia="zh-CN"/>
              </w:rPr>
              <w:t>10,173</w:t>
            </w:r>
          </w:p>
        </w:tc>
        <w:tc>
          <w:tcPr>
            <w:tcW w:w="1423" w:type="dxa"/>
            <w:gridSpan w:val="2"/>
          </w:tcPr>
          <w:p w:rsidR="006E38BC" w:rsidRPr="008C2F68" w:rsidRDefault="000938D3" w:rsidP="006B5C95">
            <w:pPr>
              <w:tabs>
                <w:tab w:val="clear" w:pos="720"/>
                <w:tab w:val="clear" w:pos="1440"/>
                <w:tab w:val="decimal" w:pos="972"/>
              </w:tabs>
              <w:jc w:val="both"/>
              <w:rPr>
                <w:szCs w:val="22"/>
                <w:lang w:eastAsia="zh-CN"/>
              </w:rPr>
            </w:pPr>
            <w:r w:rsidRPr="008C2F68">
              <w:rPr>
                <w:szCs w:val="22"/>
                <w:lang w:eastAsia="zh-CN"/>
              </w:rPr>
              <w:t>89,170</w:t>
            </w:r>
          </w:p>
        </w:tc>
      </w:tr>
      <w:tr w:rsidR="006E38BC" w:rsidRPr="008C2F68" w:rsidTr="00EA2834">
        <w:trPr>
          <w:gridBefore w:val="1"/>
          <w:wBefore w:w="6" w:type="dxa"/>
        </w:trPr>
        <w:tc>
          <w:tcPr>
            <w:tcW w:w="2673" w:type="dxa"/>
          </w:tcPr>
          <w:p w:rsidR="006E38BC" w:rsidRPr="008C2F68" w:rsidRDefault="006E38BC" w:rsidP="00EA2834">
            <w:pPr>
              <w:jc w:val="both"/>
              <w:rPr>
                <w:szCs w:val="22"/>
                <w:lang w:eastAsia="zh-CN"/>
              </w:rPr>
            </w:pPr>
            <w:r w:rsidRPr="008C2F68">
              <w:rPr>
                <w:szCs w:val="22"/>
              </w:rPr>
              <w:t>Segment liabilities</w:t>
            </w:r>
          </w:p>
        </w:tc>
        <w:tc>
          <w:tcPr>
            <w:tcW w:w="1371" w:type="dxa"/>
          </w:tcPr>
          <w:p w:rsidR="006E38BC" w:rsidRPr="008C2F68" w:rsidRDefault="000938D3" w:rsidP="006B5C95">
            <w:pPr>
              <w:tabs>
                <w:tab w:val="clear" w:pos="720"/>
                <w:tab w:val="clear" w:pos="1440"/>
                <w:tab w:val="decimal" w:pos="1083"/>
              </w:tabs>
              <w:jc w:val="both"/>
              <w:rPr>
                <w:szCs w:val="22"/>
                <w:lang w:eastAsia="zh-CN"/>
              </w:rPr>
            </w:pPr>
            <w:r w:rsidRPr="008C2F68">
              <w:rPr>
                <w:szCs w:val="22"/>
                <w:lang w:eastAsia="zh-CN"/>
              </w:rPr>
              <w:t>349</w:t>
            </w:r>
          </w:p>
        </w:tc>
        <w:tc>
          <w:tcPr>
            <w:tcW w:w="1653" w:type="dxa"/>
          </w:tcPr>
          <w:p w:rsidR="006E38BC" w:rsidRPr="008C2F68" w:rsidRDefault="000938D3" w:rsidP="006B5C95">
            <w:pPr>
              <w:jc w:val="right"/>
              <w:rPr>
                <w:szCs w:val="22"/>
                <w:lang w:eastAsia="zh-CN"/>
              </w:rPr>
            </w:pPr>
            <w:r w:rsidRPr="008C2F68">
              <w:rPr>
                <w:szCs w:val="22"/>
                <w:lang w:eastAsia="zh-CN"/>
              </w:rPr>
              <w:t>15,228</w:t>
            </w:r>
          </w:p>
        </w:tc>
        <w:tc>
          <w:tcPr>
            <w:tcW w:w="1693" w:type="dxa"/>
          </w:tcPr>
          <w:p w:rsidR="006E38BC" w:rsidRPr="008C2F68" w:rsidRDefault="000938D3" w:rsidP="006B5C95">
            <w:pPr>
              <w:tabs>
                <w:tab w:val="clear" w:pos="720"/>
                <w:tab w:val="clear" w:pos="1440"/>
              </w:tabs>
              <w:ind w:right="72"/>
              <w:jc w:val="right"/>
              <w:rPr>
                <w:szCs w:val="22"/>
                <w:lang w:eastAsia="zh-CN"/>
              </w:rPr>
            </w:pPr>
            <w:r w:rsidRPr="008C2F68">
              <w:rPr>
                <w:szCs w:val="22"/>
                <w:lang w:eastAsia="zh-CN"/>
              </w:rPr>
              <w:t>1,221</w:t>
            </w:r>
          </w:p>
        </w:tc>
        <w:tc>
          <w:tcPr>
            <w:tcW w:w="1423" w:type="dxa"/>
            <w:gridSpan w:val="2"/>
          </w:tcPr>
          <w:p w:rsidR="006E38BC" w:rsidRPr="008C2F68" w:rsidRDefault="000938D3" w:rsidP="006B5C95">
            <w:pPr>
              <w:tabs>
                <w:tab w:val="clear" w:pos="720"/>
                <w:tab w:val="clear" w:pos="1440"/>
                <w:tab w:val="decimal" w:pos="972"/>
              </w:tabs>
              <w:jc w:val="both"/>
              <w:rPr>
                <w:szCs w:val="22"/>
                <w:lang w:eastAsia="zh-CN"/>
              </w:rPr>
            </w:pPr>
            <w:r w:rsidRPr="008C2F68">
              <w:rPr>
                <w:szCs w:val="22"/>
                <w:lang w:eastAsia="zh-CN"/>
              </w:rPr>
              <w:t>16,798</w:t>
            </w:r>
          </w:p>
        </w:tc>
      </w:tr>
    </w:tbl>
    <w:p w:rsidR="008D2C10" w:rsidRPr="008C2F68" w:rsidRDefault="008D2C10" w:rsidP="002D3D46">
      <w:pPr>
        <w:rPr>
          <w:lang w:eastAsia="zh-CN"/>
        </w:rPr>
      </w:pPr>
    </w:p>
    <w:p w:rsidR="008D2C10" w:rsidRPr="008C2F68" w:rsidRDefault="008D2C10" w:rsidP="008D2C10">
      <w:pPr>
        <w:rPr>
          <w:lang w:eastAsia="zh-CN"/>
        </w:rPr>
      </w:pPr>
      <w:r w:rsidRPr="008C2F68">
        <w:rPr>
          <w:lang w:eastAsia="zh-CN"/>
        </w:rPr>
        <w:br w:type="page"/>
      </w:r>
    </w:p>
    <w:p w:rsidR="00FE3A6C" w:rsidRPr="008C2F68" w:rsidRDefault="00FE3A6C" w:rsidP="002D3D46">
      <w:pPr>
        <w:rPr>
          <w:lang w:eastAsia="zh-CN"/>
        </w:rPr>
      </w:pPr>
    </w:p>
    <w:p w:rsidR="00B05240" w:rsidRPr="008C2F68" w:rsidRDefault="00B05240" w:rsidP="00B05240">
      <w:pPr>
        <w:pStyle w:val="BodyText"/>
        <w:numPr>
          <w:ilvl w:val="0"/>
          <w:numId w:val="21"/>
        </w:numPr>
        <w:tabs>
          <w:tab w:val="clear" w:pos="1080"/>
          <w:tab w:val="clear" w:pos="1440"/>
        </w:tabs>
        <w:ind w:hanging="1080"/>
        <w:rPr>
          <w:b/>
          <w:bCs/>
          <w:szCs w:val="22"/>
        </w:rPr>
      </w:pPr>
      <w:r w:rsidRPr="008C2F68">
        <w:rPr>
          <w:rFonts w:hint="eastAsia"/>
          <w:b/>
          <w:bCs/>
          <w:szCs w:val="22"/>
          <w:lang w:eastAsia="zh-CN"/>
        </w:rPr>
        <w:t>S</w:t>
      </w:r>
      <w:r w:rsidRPr="008C2F68">
        <w:rPr>
          <w:b/>
          <w:bCs/>
          <w:szCs w:val="22"/>
        </w:rPr>
        <w:t>egmental Reporting</w:t>
      </w:r>
      <w:r w:rsidRPr="008C2F68">
        <w:rPr>
          <w:rFonts w:hint="eastAsia"/>
          <w:b/>
          <w:bCs/>
          <w:szCs w:val="22"/>
          <w:lang w:eastAsia="zh-CN"/>
        </w:rPr>
        <w:t xml:space="preserve"> (cont</w:t>
      </w:r>
      <w:r w:rsidRPr="008C2F68">
        <w:rPr>
          <w:b/>
          <w:bCs/>
          <w:szCs w:val="22"/>
          <w:lang w:eastAsia="zh-CN"/>
        </w:rPr>
        <w:t>’</w:t>
      </w:r>
      <w:r w:rsidRPr="008C2F68">
        <w:rPr>
          <w:rFonts w:hint="eastAsia"/>
          <w:b/>
          <w:bCs/>
          <w:szCs w:val="22"/>
          <w:lang w:eastAsia="zh-CN"/>
        </w:rPr>
        <w:t>d)</w:t>
      </w:r>
    </w:p>
    <w:p w:rsidR="00B05240" w:rsidRPr="008C2F68" w:rsidRDefault="00B05240" w:rsidP="00163D00">
      <w:pPr>
        <w:pStyle w:val="BodyText"/>
        <w:tabs>
          <w:tab w:val="clear" w:pos="1080"/>
          <w:tab w:val="clear" w:pos="1440"/>
        </w:tabs>
        <w:ind w:left="1080"/>
        <w:rPr>
          <w:b/>
          <w:bCs/>
          <w:szCs w:val="22"/>
        </w:rPr>
      </w:pPr>
    </w:p>
    <w:p w:rsidR="00B05240" w:rsidRPr="008C2F68" w:rsidRDefault="00B05240" w:rsidP="00B05240">
      <w:pPr>
        <w:pStyle w:val="bodytest"/>
        <w:keepNext w:val="0"/>
        <w:outlineLvl w:val="9"/>
        <w:rPr>
          <w:szCs w:val="22"/>
        </w:rPr>
      </w:pPr>
      <w:r w:rsidRPr="008C2F68">
        <w:rPr>
          <w:szCs w:val="22"/>
        </w:rPr>
        <w:t xml:space="preserve">The segmental result of the Group for the </w:t>
      </w:r>
      <w:r w:rsidRPr="008C2F68">
        <w:rPr>
          <w:rFonts w:hint="eastAsia"/>
          <w:szCs w:val="22"/>
          <w:lang w:eastAsia="zh-CN"/>
        </w:rPr>
        <w:t xml:space="preserve">cumulative financial quarter </w:t>
      </w:r>
      <w:r w:rsidRPr="008C2F68">
        <w:rPr>
          <w:szCs w:val="22"/>
        </w:rPr>
        <w:t>under review is set out below:</w:t>
      </w:r>
    </w:p>
    <w:p w:rsidR="00B05240" w:rsidRPr="008C2F68" w:rsidRDefault="00B05240" w:rsidP="00B05240">
      <w:pPr>
        <w:pStyle w:val="bodytest"/>
        <w:keepNext w:val="0"/>
        <w:outlineLvl w:val="9"/>
        <w:rPr>
          <w:szCs w:val="22"/>
          <w:lang w:eastAsia="zh-CN"/>
        </w:rPr>
      </w:pPr>
    </w:p>
    <w:p w:rsidR="00FE3A6C" w:rsidRPr="008C2F68" w:rsidRDefault="008B2465" w:rsidP="00FE3A6C">
      <w:pPr>
        <w:pStyle w:val="bodytest"/>
        <w:keepNext w:val="0"/>
        <w:outlineLvl w:val="9"/>
        <w:rPr>
          <w:b/>
          <w:szCs w:val="22"/>
          <w:u w:val="single"/>
          <w:lang w:eastAsia="zh-CN"/>
        </w:rPr>
      </w:pPr>
      <w:r w:rsidRPr="008C2F68">
        <w:rPr>
          <w:b/>
          <w:szCs w:val="22"/>
          <w:u w:val="single"/>
          <w:lang w:eastAsia="zh-CN"/>
        </w:rPr>
        <w:t>9</w:t>
      </w:r>
      <w:r w:rsidR="00FE3A6C" w:rsidRPr="008C2F68">
        <w:rPr>
          <w:rFonts w:hint="eastAsia"/>
          <w:b/>
          <w:szCs w:val="22"/>
          <w:u w:val="single"/>
          <w:lang w:eastAsia="zh-CN"/>
        </w:rPr>
        <w:t xml:space="preserve"> months ended 3</w:t>
      </w:r>
      <w:r w:rsidR="00FE3A6C" w:rsidRPr="008C2F68">
        <w:rPr>
          <w:b/>
          <w:szCs w:val="22"/>
          <w:u w:val="single"/>
          <w:lang w:eastAsia="zh-CN"/>
        </w:rPr>
        <w:t>0</w:t>
      </w:r>
      <w:r w:rsidR="00FE3A6C" w:rsidRPr="008C2F68">
        <w:rPr>
          <w:rFonts w:hint="eastAsia"/>
          <w:b/>
          <w:szCs w:val="22"/>
          <w:u w:val="single"/>
          <w:lang w:eastAsia="zh-CN"/>
        </w:rPr>
        <w:t xml:space="preserve"> </w:t>
      </w:r>
      <w:r w:rsidRPr="008C2F68">
        <w:rPr>
          <w:b/>
          <w:szCs w:val="22"/>
          <w:u w:val="single"/>
          <w:lang w:eastAsia="zh-CN"/>
        </w:rPr>
        <w:t>September</w:t>
      </w:r>
      <w:r w:rsidR="00FE3A6C" w:rsidRPr="008C2F68">
        <w:rPr>
          <w:rFonts w:hint="eastAsia"/>
          <w:b/>
          <w:szCs w:val="22"/>
          <w:u w:val="single"/>
          <w:lang w:eastAsia="zh-CN"/>
        </w:rPr>
        <w:t xml:space="preserve"> 201</w:t>
      </w:r>
      <w:r w:rsidR="00FE3A6C" w:rsidRPr="008C2F68">
        <w:rPr>
          <w:b/>
          <w:szCs w:val="22"/>
          <w:u w:val="single"/>
          <w:lang w:eastAsia="zh-CN"/>
        </w:rPr>
        <w:t>3</w:t>
      </w:r>
    </w:p>
    <w:p w:rsidR="00FE3A6C" w:rsidRPr="008C2F68" w:rsidRDefault="00FE3A6C" w:rsidP="00FE3A6C">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FE3A6C" w:rsidRPr="008C2F68" w:rsidTr="00EA2834">
        <w:trPr>
          <w:gridAfter w:val="1"/>
          <w:wAfter w:w="89" w:type="dxa"/>
        </w:trPr>
        <w:tc>
          <w:tcPr>
            <w:tcW w:w="2679" w:type="dxa"/>
            <w:gridSpan w:val="2"/>
          </w:tcPr>
          <w:p w:rsidR="00FE3A6C" w:rsidRPr="008C2F68" w:rsidRDefault="00FE3A6C" w:rsidP="00EA2834">
            <w:pPr>
              <w:jc w:val="both"/>
              <w:rPr>
                <w:szCs w:val="22"/>
              </w:rPr>
            </w:pPr>
          </w:p>
        </w:tc>
        <w:tc>
          <w:tcPr>
            <w:tcW w:w="1371" w:type="dxa"/>
          </w:tcPr>
          <w:p w:rsidR="00FE3A6C" w:rsidRPr="008C2F68" w:rsidRDefault="00FE3A6C" w:rsidP="00EA2834">
            <w:pPr>
              <w:jc w:val="right"/>
              <w:rPr>
                <w:szCs w:val="22"/>
              </w:rPr>
            </w:pPr>
            <w:r w:rsidRPr="008C2F68">
              <w:rPr>
                <w:szCs w:val="22"/>
              </w:rPr>
              <w:t>Investment Holding</w:t>
            </w:r>
          </w:p>
        </w:tc>
        <w:tc>
          <w:tcPr>
            <w:tcW w:w="1800" w:type="dxa"/>
          </w:tcPr>
          <w:p w:rsidR="00FE3A6C" w:rsidRPr="008C2F68" w:rsidRDefault="00FE3A6C" w:rsidP="00EA2834">
            <w:pPr>
              <w:tabs>
                <w:tab w:val="clear" w:pos="1440"/>
                <w:tab w:val="left" w:pos="1602"/>
              </w:tabs>
              <w:jc w:val="right"/>
              <w:rPr>
                <w:szCs w:val="22"/>
              </w:rPr>
            </w:pPr>
            <w:r w:rsidRPr="008C2F68">
              <w:rPr>
                <w:szCs w:val="22"/>
              </w:rPr>
              <w:t>Manufacturing of Polymeric product</w:t>
            </w:r>
          </w:p>
        </w:tc>
        <w:tc>
          <w:tcPr>
            <w:tcW w:w="1710" w:type="dxa"/>
          </w:tcPr>
          <w:p w:rsidR="00FE3A6C" w:rsidRPr="008C2F68" w:rsidRDefault="00FE3A6C" w:rsidP="00EA2834">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product</w:t>
            </w:r>
          </w:p>
        </w:tc>
        <w:tc>
          <w:tcPr>
            <w:tcW w:w="1248" w:type="dxa"/>
          </w:tcPr>
          <w:p w:rsidR="00FE3A6C" w:rsidRPr="008C2F68" w:rsidRDefault="00FE3A6C" w:rsidP="00EA2834">
            <w:pPr>
              <w:jc w:val="right"/>
              <w:rPr>
                <w:szCs w:val="22"/>
              </w:rPr>
            </w:pPr>
            <w:r w:rsidRPr="008C2F68">
              <w:rPr>
                <w:szCs w:val="22"/>
              </w:rPr>
              <w:t>Total</w:t>
            </w: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p>
        </w:tc>
        <w:tc>
          <w:tcPr>
            <w:tcW w:w="1371" w:type="dxa"/>
          </w:tcPr>
          <w:p w:rsidR="00FE3A6C" w:rsidRPr="008C2F68" w:rsidRDefault="00FE3A6C" w:rsidP="00EA2834">
            <w:pPr>
              <w:jc w:val="right"/>
              <w:rPr>
                <w:szCs w:val="22"/>
              </w:rPr>
            </w:pPr>
            <w:r w:rsidRPr="008C2F68">
              <w:rPr>
                <w:szCs w:val="22"/>
              </w:rPr>
              <w:t>RM’000</w:t>
            </w:r>
          </w:p>
        </w:tc>
        <w:tc>
          <w:tcPr>
            <w:tcW w:w="1800" w:type="dxa"/>
          </w:tcPr>
          <w:p w:rsidR="00FE3A6C" w:rsidRPr="008C2F68" w:rsidRDefault="00FE3A6C" w:rsidP="00EA2834">
            <w:pPr>
              <w:jc w:val="right"/>
              <w:rPr>
                <w:szCs w:val="22"/>
              </w:rPr>
            </w:pPr>
            <w:r w:rsidRPr="008C2F68">
              <w:rPr>
                <w:szCs w:val="22"/>
              </w:rPr>
              <w:t>RM’000</w:t>
            </w:r>
          </w:p>
        </w:tc>
        <w:tc>
          <w:tcPr>
            <w:tcW w:w="1710" w:type="dxa"/>
          </w:tcPr>
          <w:p w:rsidR="00FE3A6C" w:rsidRPr="008C2F68" w:rsidRDefault="00FE3A6C" w:rsidP="00EA2834">
            <w:pPr>
              <w:jc w:val="right"/>
              <w:rPr>
                <w:szCs w:val="22"/>
              </w:rPr>
            </w:pPr>
            <w:r w:rsidRPr="008C2F68">
              <w:rPr>
                <w:szCs w:val="22"/>
              </w:rPr>
              <w:t>RM’000</w:t>
            </w:r>
          </w:p>
        </w:tc>
        <w:tc>
          <w:tcPr>
            <w:tcW w:w="1248" w:type="dxa"/>
          </w:tcPr>
          <w:p w:rsidR="00FE3A6C" w:rsidRPr="008C2F68" w:rsidRDefault="00FE3A6C" w:rsidP="00EA2834">
            <w:pPr>
              <w:jc w:val="right"/>
              <w:rPr>
                <w:szCs w:val="22"/>
              </w:rPr>
            </w:pPr>
            <w:r w:rsidRPr="008C2F68">
              <w:rPr>
                <w:szCs w:val="22"/>
              </w:rPr>
              <w:t>RM’000</w:t>
            </w:r>
          </w:p>
        </w:tc>
      </w:tr>
      <w:tr w:rsidR="00FE3A6C" w:rsidRPr="008C2F68" w:rsidTr="00EA2834">
        <w:trPr>
          <w:gridAfter w:val="1"/>
          <w:wAfter w:w="89" w:type="dxa"/>
          <w:trHeight w:val="189"/>
        </w:trPr>
        <w:tc>
          <w:tcPr>
            <w:tcW w:w="2679" w:type="dxa"/>
            <w:gridSpan w:val="2"/>
          </w:tcPr>
          <w:p w:rsidR="00FE3A6C" w:rsidRPr="008C2F68" w:rsidRDefault="00FE3A6C" w:rsidP="00EA2834">
            <w:pPr>
              <w:rPr>
                <w:b/>
                <w:szCs w:val="22"/>
              </w:rPr>
            </w:pPr>
            <w:r w:rsidRPr="008C2F68">
              <w:rPr>
                <w:b/>
                <w:szCs w:val="22"/>
              </w:rPr>
              <w:t>REVENUE</w:t>
            </w:r>
          </w:p>
        </w:tc>
        <w:tc>
          <w:tcPr>
            <w:tcW w:w="1371" w:type="dxa"/>
          </w:tcPr>
          <w:p w:rsidR="00FE3A6C" w:rsidRPr="008C2F68" w:rsidRDefault="00FE3A6C" w:rsidP="00EA2834">
            <w:pPr>
              <w:jc w:val="right"/>
              <w:rPr>
                <w:szCs w:val="22"/>
              </w:rPr>
            </w:pPr>
          </w:p>
        </w:tc>
        <w:tc>
          <w:tcPr>
            <w:tcW w:w="1800" w:type="dxa"/>
          </w:tcPr>
          <w:p w:rsidR="00FE3A6C" w:rsidRPr="008C2F68" w:rsidRDefault="00FE3A6C" w:rsidP="00EA2834">
            <w:pPr>
              <w:jc w:val="right"/>
              <w:rPr>
                <w:szCs w:val="22"/>
              </w:rPr>
            </w:pPr>
          </w:p>
        </w:tc>
        <w:tc>
          <w:tcPr>
            <w:tcW w:w="1710" w:type="dxa"/>
          </w:tcPr>
          <w:p w:rsidR="00FE3A6C" w:rsidRPr="008C2F68" w:rsidRDefault="00FE3A6C" w:rsidP="00EA2834">
            <w:pPr>
              <w:jc w:val="right"/>
              <w:rPr>
                <w:szCs w:val="22"/>
              </w:rPr>
            </w:pPr>
          </w:p>
        </w:tc>
        <w:tc>
          <w:tcPr>
            <w:tcW w:w="1248" w:type="dxa"/>
          </w:tcPr>
          <w:p w:rsidR="00FE3A6C" w:rsidRPr="008C2F68" w:rsidRDefault="00FE3A6C" w:rsidP="00EA2834">
            <w:pPr>
              <w:jc w:val="right"/>
              <w:rPr>
                <w:szCs w:val="22"/>
              </w:rPr>
            </w:pPr>
          </w:p>
        </w:tc>
      </w:tr>
      <w:tr w:rsidR="00FE3A6C" w:rsidRPr="008C2F68" w:rsidTr="00EA2834">
        <w:trPr>
          <w:gridAfter w:val="1"/>
          <w:wAfter w:w="89" w:type="dxa"/>
        </w:trPr>
        <w:tc>
          <w:tcPr>
            <w:tcW w:w="2679" w:type="dxa"/>
            <w:gridSpan w:val="2"/>
          </w:tcPr>
          <w:p w:rsidR="00FE3A6C" w:rsidRPr="008C2F68" w:rsidRDefault="00FE3A6C" w:rsidP="00EA2834">
            <w:pPr>
              <w:rPr>
                <w:szCs w:val="22"/>
                <w:lang w:eastAsia="zh-CN"/>
              </w:rPr>
            </w:pPr>
            <w:r w:rsidRPr="008C2F68">
              <w:rPr>
                <w:rFonts w:hint="eastAsia"/>
                <w:szCs w:val="22"/>
                <w:lang w:eastAsia="zh-CN"/>
              </w:rPr>
              <w:t>Sales (Gross)</w:t>
            </w:r>
          </w:p>
        </w:tc>
        <w:tc>
          <w:tcPr>
            <w:tcW w:w="1371" w:type="dxa"/>
          </w:tcPr>
          <w:p w:rsidR="00FE3A6C" w:rsidRPr="008C2F68" w:rsidRDefault="005963E5" w:rsidP="00EA2834">
            <w:pPr>
              <w:tabs>
                <w:tab w:val="clear" w:pos="720"/>
                <w:tab w:val="clear" w:pos="1440"/>
                <w:tab w:val="decimal" w:pos="1083"/>
              </w:tabs>
              <w:jc w:val="both"/>
              <w:rPr>
                <w:szCs w:val="22"/>
                <w:lang w:eastAsia="zh-CN"/>
              </w:rPr>
            </w:pPr>
            <w:r w:rsidRPr="008C2F68">
              <w:rPr>
                <w:szCs w:val="22"/>
                <w:lang w:eastAsia="zh-CN"/>
              </w:rPr>
              <w:t>5,133</w:t>
            </w:r>
          </w:p>
        </w:tc>
        <w:tc>
          <w:tcPr>
            <w:tcW w:w="1800" w:type="dxa"/>
          </w:tcPr>
          <w:p w:rsidR="00FE3A6C" w:rsidRPr="008C2F68" w:rsidRDefault="005963E5" w:rsidP="005963E5">
            <w:pPr>
              <w:tabs>
                <w:tab w:val="clear" w:pos="720"/>
                <w:tab w:val="clear" w:pos="1440"/>
                <w:tab w:val="decimal" w:pos="1584"/>
              </w:tabs>
              <w:ind w:firstLine="764"/>
              <w:jc w:val="right"/>
              <w:rPr>
                <w:szCs w:val="22"/>
                <w:lang w:eastAsia="zh-CN"/>
              </w:rPr>
            </w:pPr>
            <w:r w:rsidRPr="008C2F68">
              <w:rPr>
                <w:szCs w:val="22"/>
                <w:lang w:eastAsia="zh-CN"/>
              </w:rPr>
              <w:t>96,254</w:t>
            </w:r>
          </w:p>
        </w:tc>
        <w:tc>
          <w:tcPr>
            <w:tcW w:w="1710" w:type="dxa"/>
          </w:tcPr>
          <w:p w:rsidR="00FE3A6C" w:rsidRPr="008C2F68" w:rsidRDefault="005963E5" w:rsidP="00CC2737">
            <w:pPr>
              <w:tabs>
                <w:tab w:val="clear" w:pos="720"/>
                <w:tab w:val="clear" w:pos="1440"/>
              </w:tabs>
              <w:ind w:right="72"/>
              <w:jc w:val="right"/>
              <w:rPr>
                <w:szCs w:val="22"/>
                <w:lang w:eastAsia="zh-CN"/>
              </w:rPr>
            </w:pPr>
            <w:r w:rsidRPr="008C2F68">
              <w:rPr>
                <w:szCs w:val="22"/>
                <w:lang w:eastAsia="zh-CN"/>
              </w:rPr>
              <w:t>11,085</w:t>
            </w:r>
          </w:p>
        </w:tc>
        <w:tc>
          <w:tcPr>
            <w:tcW w:w="1248" w:type="dxa"/>
          </w:tcPr>
          <w:p w:rsidR="00FE3A6C" w:rsidRPr="008C2F68" w:rsidRDefault="005963E5" w:rsidP="00CC2737">
            <w:pPr>
              <w:tabs>
                <w:tab w:val="clear" w:pos="720"/>
                <w:tab w:val="clear" w:pos="1440"/>
                <w:tab w:val="decimal" w:pos="972"/>
              </w:tabs>
              <w:jc w:val="both"/>
              <w:rPr>
                <w:szCs w:val="22"/>
                <w:lang w:eastAsia="zh-CN"/>
              </w:rPr>
            </w:pPr>
            <w:r w:rsidRPr="008C2F68">
              <w:rPr>
                <w:szCs w:val="22"/>
                <w:lang w:eastAsia="zh-CN"/>
              </w:rPr>
              <w:t>112,472</w:t>
            </w:r>
          </w:p>
        </w:tc>
      </w:tr>
      <w:tr w:rsidR="00FE3A6C" w:rsidRPr="008C2F68" w:rsidTr="00EA2834">
        <w:trPr>
          <w:gridAfter w:val="1"/>
          <w:wAfter w:w="89" w:type="dxa"/>
        </w:trPr>
        <w:tc>
          <w:tcPr>
            <w:tcW w:w="2679" w:type="dxa"/>
            <w:gridSpan w:val="2"/>
          </w:tcPr>
          <w:p w:rsidR="00FE3A6C" w:rsidRPr="008C2F68" w:rsidRDefault="00FE3A6C" w:rsidP="00EA2834">
            <w:pPr>
              <w:rPr>
                <w:szCs w:val="22"/>
              </w:rPr>
            </w:pPr>
            <w:r w:rsidRPr="008C2F68">
              <w:rPr>
                <w:szCs w:val="22"/>
              </w:rPr>
              <w:t>Inter-segment sales</w:t>
            </w:r>
          </w:p>
        </w:tc>
        <w:tc>
          <w:tcPr>
            <w:tcW w:w="1371" w:type="dxa"/>
            <w:tcBorders>
              <w:bottom w:val="single" w:sz="4" w:space="0" w:color="auto"/>
            </w:tcBorders>
          </w:tcPr>
          <w:p w:rsidR="00FE3A6C" w:rsidRPr="008C2F68" w:rsidRDefault="00FE3A6C" w:rsidP="00EA2834">
            <w:pPr>
              <w:tabs>
                <w:tab w:val="clear" w:pos="720"/>
                <w:tab w:val="clear" w:pos="1440"/>
                <w:tab w:val="decimal" w:pos="1083"/>
              </w:tabs>
              <w:jc w:val="both"/>
              <w:rPr>
                <w:szCs w:val="22"/>
                <w:lang w:eastAsia="zh-CN"/>
              </w:rPr>
            </w:pPr>
            <w:r w:rsidRPr="008C2F68">
              <w:rPr>
                <w:szCs w:val="22"/>
                <w:lang w:eastAsia="zh-CN"/>
              </w:rPr>
              <w:t xml:space="preserve">    </w:t>
            </w:r>
            <w:r w:rsidR="005963E5" w:rsidRPr="008C2F68">
              <w:rPr>
                <w:szCs w:val="22"/>
                <w:lang w:eastAsia="zh-CN"/>
              </w:rPr>
              <w:t>(5,091</w:t>
            </w:r>
            <w:r w:rsidRPr="008C2F68">
              <w:rPr>
                <w:szCs w:val="22"/>
                <w:lang w:eastAsia="zh-CN"/>
              </w:rPr>
              <w:t>)</w:t>
            </w:r>
          </w:p>
        </w:tc>
        <w:tc>
          <w:tcPr>
            <w:tcW w:w="1800" w:type="dxa"/>
            <w:tcBorders>
              <w:bottom w:val="single" w:sz="4" w:space="0" w:color="auto"/>
            </w:tcBorders>
          </w:tcPr>
          <w:p w:rsidR="00FE3A6C" w:rsidRPr="008C2F68" w:rsidRDefault="005963E5" w:rsidP="00CC2737">
            <w:pPr>
              <w:tabs>
                <w:tab w:val="clear" w:pos="720"/>
                <w:tab w:val="clear" w:pos="1440"/>
                <w:tab w:val="decimal" w:pos="1584"/>
              </w:tabs>
              <w:ind w:firstLine="764"/>
              <w:jc w:val="right"/>
              <w:rPr>
                <w:szCs w:val="22"/>
                <w:lang w:eastAsia="zh-CN"/>
              </w:rPr>
            </w:pPr>
            <w:r w:rsidRPr="008C2F68">
              <w:rPr>
                <w:szCs w:val="22"/>
                <w:lang w:eastAsia="zh-CN"/>
              </w:rPr>
              <w:t>(7,620</w:t>
            </w:r>
            <w:r w:rsidR="00FE3A6C" w:rsidRPr="008C2F68">
              <w:rPr>
                <w:szCs w:val="22"/>
                <w:lang w:eastAsia="zh-CN"/>
              </w:rPr>
              <w:t>)</w:t>
            </w:r>
          </w:p>
        </w:tc>
        <w:tc>
          <w:tcPr>
            <w:tcW w:w="1710" w:type="dxa"/>
            <w:tcBorders>
              <w:bottom w:val="single" w:sz="4" w:space="0" w:color="auto"/>
            </w:tcBorders>
          </w:tcPr>
          <w:p w:rsidR="00FE3A6C" w:rsidRPr="008C2F68" w:rsidRDefault="00FE3A6C" w:rsidP="00EA2834">
            <w:pPr>
              <w:tabs>
                <w:tab w:val="clear" w:pos="720"/>
                <w:tab w:val="clear" w:pos="1440"/>
              </w:tabs>
              <w:ind w:right="72"/>
              <w:jc w:val="right"/>
              <w:rPr>
                <w:szCs w:val="22"/>
                <w:lang w:eastAsia="zh-CN"/>
              </w:rPr>
            </w:pPr>
            <w:r w:rsidRPr="008C2F68">
              <w:rPr>
                <w:rFonts w:hint="eastAsia"/>
                <w:szCs w:val="22"/>
                <w:lang w:eastAsia="zh-CN"/>
              </w:rPr>
              <w:t>-</w:t>
            </w:r>
          </w:p>
        </w:tc>
        <w:tc>
          <w:tcPr>
            <w:tcW w:w="1248" w:type="dxa"/>
            <w:tcBorders>
              <w:bottom w:val="single" w:sz="4" w:space="0" w:color="auto"/>
            </w:tcBorders>
          </w:tcPr>
          <w:p w:rsidR="00FE3A6C" w:rsidRPr="008C2F68" w:rsidRDefault="00FE3A6C" w:rsidP="00EA2834">
            <w:pPr>
              <w:tabs>
                <w:tab w:val="clear" w:pos="720"/>
                <w:tab w:val="clear" w:pos="1440"/>
                <w:tab w:val="decimal" w:pos="972"/>
              </w:tabs>
              <w:jc w:val="both"/>
              <w:rPr>
                <w:szCs w:val="22"/>
                <w:lang w:eastAsia="zh-CN"/>
              </w:rPr>
            </w:pPr>
            <w:r w:rsidRPr="008C2F68">
              <w:rPr>
                <w:rFonts w:hint="eastAsia"/>
                <w:szCs w:val="22"/>
                <w:lang w:eastAsia="zh-CN"/>
              </w:rPr>
              <w:t>(</w:t>
            </w:r>
            <w:r w:rsidR="005963E5" w:rsidRPr="008C2F68">
              <w:rPr>
                <w:szCs w:val="22"/>
                <w:lang w:eastAsia="zh-CN"/>
              </w:rPr>
              <w:t>12,711</w:t>
            </w:r>
            <w:r w:rsidRPr="008C2F68">
              <w:rPr>
                <w:rFonts w:hint="eastAsia"/>
                <w:szCs w:val="22"/>
                <w:lang w:eastAsia="zh-CN"/>
              </w:rPr>
              <w:t>)</w:t>
            </w:r>
          </w:p>
        </w:tc>
      </w:tr>
      <w:tr w:rsidR="00FE3A6C" w:rsidRPr="008C2F68" w:rsidTr="00EA2834">
        <w:trPr>
          <w:gridAfter w:val="1"/>
          <w:wAfter w:w="89" w:type="dxa"/>
        </w:trPr>
        <w:tc>
          <w:tcPr>
            <w:tcW w:w="2679" w:type="dxa"/>
            <w:gridSpan w:val="2"/>
          </w:tcPr>
          <w:p w:rsidR="00FE3A6C" w:rsidRPr="008C2F68" w:rsidRDefault="00FE3A6C"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FE3A6C" w:rsidRPr="008C2F68" w:rsidRDefault="005963E5" w:rsidP="00EA2834">
            <w:pPr>
              <w:tabs>
                <w:tab w:val="clear" w:pos="720"/>
                <w:tab w:val="clear" w:pos="1440"/>
                <w:tab w:val="decimal" w:pos="1083"/>
              </w:tabs>
              <w:jc w:val="both"/>
              <w:rPr>
                <w:szCs w:val="22"/>
                <w:lang w:eastAsia="zh-CN"/>
              </w:rPr>
            </w:pPr>
            <w:r w:rsidRPr="008C2F68">
              <w:rPr>
                <w:szCs w:val="22"/>
                <w:lang w:eastAsia="zh-CN"/>
              </w:rPr>
              <w:t>42</w:t>
            </w:r>
          </w:p>
        </w:tc>
        <w:tc>
          <w:tcPr>
            <w:tcW w:w="1800" w:type="dxa"/>
            <w:tcBorders>
              <w:top w:val="single" w:sz="4" w:space="0" w:color="auto"/>
            </w:tcBorders>
          </w:tcPr>
          <w:p w:rsidR="00FE3A6C" w:rsidRPr="008C2F68" w:rsidRDefault="005963E5" w:rsidP="00CC2737">
            <w:pPr>
              <w:tabs>
                <w:tab w:val="clear" w:pos="720"/>
                <w:tab w:val="clear" w:pos="1440"/>
                <w:tab w:val="decimal" w:pos="1584"/>
              </w:tabs>
              <w:ind w:firstLine="764"/>
              <w:jc w:val="right"/>
              <w:rPr>
                <w:szCs w:val="22"/>
                <w:lang w:eastAsia="zh-CN"/>
              </w:rPr>
            </w:pPr>
            <w:r w:rsidRPr="008C2F68">
              <w:rPr>
                <w:szCs w:val="22"/>
                <w:lang w:eastAsia="zh-CN"/>
              </w:rPr>
              <w:t>88,634</w:t>
            </w:r>
          </w:p>
        </w:tc>
        <w:tc>
          <w:tcPr>
            <w:tcW w:w="1710" w:type="dxa"/>
            <w:tcBorders>
              <w:top w:val="single" w:sz="4" w:space="0" w:color="auto"/>
            </w:tcBorders>
          </w:tcPr>
          <w:p w:rsidR="00FE3A6C" w:rsidRPr="008C2F68" w:rsidRDefault="005963E5" w:rsidP="00CC2737">
            <w:pPr>
              <w:tabs>
                <w:tab w:val="clear" w:pos="720"/>
                <w:tab w:val="clear" w:pos="1440"/>
              </w:tabs>
              <w:ind w:right="72"/>
              <w:jc w:val="right"/>
              <w:rPr>
                <w:szCs w:val="22"/>
                <w:lang w:eastAsia="zh-CN"/>
              </w:rPr>
            </w:pPr>
            <w:r w:rsidRPr="008C2F68">
              <w:rPr>
                <w:szCs w:val="22"/>
                <w:lang w:eastAsia="zh-CN"/>
              </w:rPr>
              <w:t>11,085</w:t>
            </w:r>
          </w:p>
        </w:tc>
        <w:tc>
          <w:tcPr>
            <w:tcW w:w="1248" w:type="dxa"/>
            <w:tcBorders>
              <w:top w:val="single" w:sz="4" w:space="0" w:color="auto"/>
            </w:tcBorders>
          </w:tcPr>
          <w:p w:rsidR="00FE3A6C" w:rsidRPr="008C2F68" w:rsidRDefault="005963E5" w:rsidP="00EA2834">
            <w:pPr>
              <w:tabs>
                <w:tab w:val="clear" w:pos="720"/>
                <w:tab w:val="clear" w:pos="1440"/>
                <w:tab w:val="decimal" w:pos="972"/>
              </w:tabs>
              <w:jc w:val="both"/>
              <w:rPr>
                <w:szCs w:val="22"/>
                <w:lang w:eastAsia="zh-CN"/>
              </w:rPr>
            </w:pPr>
            <w:r w:rsidRPr="008C2F68">
              <w:rPr>
                <w:szCs w:val="22"/>
                <w:lang w:eastAsia="zh-CN"/>
              </w:rPr>
              <w:t>99,761</w:t>
            </w:r>
          </w:p>
        </w:tc>
      </w:tr>
      <w:tr w:rsidR="00FE3A6C" w:rsidRPr="008C2F68" w:rsidTr="00EA2834">
        <w:trPr>
          <w:gridAfter w:val="1"/>
          <w:wAfter w:w="89" w:type="dxa"/>
        </w:trPr>
        <w:tc>
          <w:tcPr>
            <w:tcW w:w="2679" w:type="dxa"/>
            <w:gridSpan w:val="2"/>
          </w:tcPr>
          <w:p w:rsidR="00FE3A6C" w:rsidRPr="008C2F68" w:rsidRDefault="00FE3A6C" w:rsidP="00EA2834">
            <w:pPr>
              <w:jc w:val="both"/>
              <w:rPr>
                <w:b/>
                <w:sz w:val="18"/>
                <w:szCs w:val="18"/>
              </w:rPr>
            </w:pPr>
          </w:p>
        </w:tc>
        <w:tc>
          <w:tcPr>
            <w:tcW w:w="1371" w:type="dxa"/>
            <w:tcBorders>
              <w:top w:val="double" w:sz="4" w:space="0" w:color="auto"/>
            </w:tcBorders>
          </w:tcPr>
          <w:p w:rsidR="00FE3A6C" w:rsidRPr="008C2F68" w:rsidRDefault="00FE3A6C" w:rsidP="00EA2834">
            <w:pPr>
              <w:tabs>
                <w:tab w:val="decimal" w:pos="1083"/>
              </w:tabs>
              <w:jc w:val="both"/>
              <w:rPr>
                <w:sz w:val="18"/>
                <w:szCs w:val="18"/>
              </w:rPr>
            </w:pPr>
          </w:p>
        </w:tc>
        <w:tc>
          <w:tcPr>
            <w:tcW w:w="1800" w:type="dxa"/>
            <w:tcBorders>
              <w:top w:val="double" w:sz="4" w:space="0" w:color="auto"/>
            </w:tcBorders>
          </w:tcPr>
          <w:p w:rsidR="00FE3A6C" w:rsidRPr="008C2F68" w:rsidRDefault="00FE3A6C" w:rsidP="00EA2834">
            <w:pPr>
              <w:tabs>
                <w:tab w:val="decimal" w:pos="1584"/>
              </w:tabs>
              <w:ind w:firstLine="764"/>
              <w:jc w:val="right"/>
              <w:rPr>
                <w:sz w:val="18"/>
                <w:szCs w:val="18"/>
              </w:rPr>
            </w:pPr>
          </w:p>
        </w:tc>
        <w:tc>
          <w:tcPr>
            <w:tcW w:w="1710" w:type="dxa"/>
            <w:tcBorders>
              <w:top w:val="double" w:sz="4" w:space="0" w:color="auto"/>
            </w:tcBorders>
          </w:tcPr>
          <w:p w:rsidR="00FE3A6C" w:rsidRPr="008C2F68" w:rsidRDefault="00FE3A6C" w:rsidP="00EA2834">
            <w:pPr>
              <w:tabs>
                <w:tab w:val="clear" w:pos="720"/>
                <w:tab w:val="clear" w:pos="1440"/>
              </w:tabs>
              <w:ind w:right="72"/>
              <w:jc w:val="right"/>
              <w:rPr>
                <w:sz w:val="18"/>
                <w:szCs w:val="18"/>
              </w:rPr>
            </w:pPr>
          </w:p>
        </w:tc>
        <w:tc>
          <w:tcPr>
            <w:tcW w:w="1248" w:type="dxa"/>
            <w:tcBorders>
              <w:top w:val="double" w:sz="4" w:space="0" w:color="auto"/>
            </w:tcBorders>
          </w:tcPr>
          <w:p w:rsidR="00FE3A6C" w:rsidRPr="008C2F68" w:rsidRDefault="00FE3A6C" w:rsidP="00EA2834">
            <w:pPr>
              <w:tabs>
                <w:tab w:val="clear" w:pos="720"/>
                <w:tab w:val="clear" w:pos="1440"/>
                <w:tab w:val="decimal" w:pos="972"/>
              </w:tabs>
              <w:jc w:val="both"/>
              <w:rPr>
                <w:sz w:val="18"/>
                <w:szCs w:val="18"/>
              </w:rPr>
            </w:pPr>
          </w:p>
        </w:tc>
      </w:tr>
      <w:tr w:rsidR="00FE3A6C" w:rsidRPr="008C2F68" w:rsidTr="00EA2834">
        <w:trPr>
          <w:gridAfter w:val="1"/>
          <w:wAfter w:w="89" w:type="dxa"/>
        </w:trPr>
        <w:tc>
          <w:tcPr>
            <w:tcW w:w="2679" w:type="dxa"/>
            <w:gridSpan w:val="2"/>
          </w:tcPr>
          <w:p w:rsidR="00FE3A6C" w:rsidRPr="008C2F68" w:rsidRDefault="00FE3A6C" w:rsidP="00EA2834">
            <w:pPr>
              <w:jc w:val="both"/>
              <w:rPr>
                <w:b/>
                <w:szCs w:val="22"/>
              </w:rPr>
            </w:pPr>
            <w:r w:rsidRPr="008C2F68">
              <w:rPr>
                <w:b/>
                <w:szCs w:val="22"/>
              </w:rPr>
              <w:t>RESULT</w:t>
            </w:r>
          </w:p>
        </w:tc>
        <w:tc>
          <w:tcPr>
            <w:tcW w:w="1371" w:type="dxa"/>
          </w:tcPr>
          <w:p w:rsidR="00FE3A6C" w:rsidRPr="008C2F68" w:rsidRDefault="00FE3A6C" w:rsidP="00EA2834">
            <w:pPr>
              <w:tabs>
                <w:tab w:val="decimal" w:pos="1083"/>
              </w:tabs>
              <w:jc w:val="both"/>
              <w:rPr>
                <w:szCs w:val="22"/>
              </w:rPr>
            </w:pPr>
          </w:p>
        </w:tc>
        <w:tc>
          <w:tcPr>
            <w:tcW w:w="1800" w:type="dxa"/>
          </w:tcPr>
          <w:p w:rsidR="00FE3A6C" w:rsidRPr="008C2F68" w:rsidRDefault="00FE3A6C" w:rsidP="00EA2834">
            <w:pPr>
              <w:tabs>
                <w:tab w:val="decimal" w:pos="1584"/>
              </w:tabs>
              <w:ind w:firstLine="764"/>
              <w:jc w:val="right"/>
              <w:rPr>
                <w:szCs w:val="22"/>
              </w:rPr>
            </w:pPr>
          </w:p>
        </w:tc>
        <w:tc>
          <w:tcPr>
            <w:tcW w:w="1710" w:type="dxa"/>
          </w:tcPr>
          <w:p w:rsidR="00FE3A6C" w:rsidRPr="008C2F68" w:rsidRDefault="00FE3A6C" w:rsidP="00EA2834">
            <w:pPr>
              <w:tabs>
                <w:tab w:val="clear" w:pos="720"/>
                <w:tab w:val="clear" w:pos="1440"/>
              </w:tabs>
              <w:ind w:right="72"/>
              <w:jc w:val="right"/>
              <w:rPr>
                <w:szCs w:val="22"/>
              </w:rPr>
            </w:pPr>
          </w:p>
        </w:tc>
        <w:tc>
          <w:tcPr>
            <w:tcW w:w="1248" w:type="dxa"/>
          </w:tcPr>
          <w:p w:rsidR="00FE3A6C" w:rsidRPr="008C2F68" w:rsidRDefault="00FE3A6C" w:rsidP="00EA2834">
            <w:pPr>
              <w:tabs>
                <w:tab w:val="clear" w:pos="720"/>
                <w:tab w:val="clear" w:pos="1440"/>
                <w:tab w:val="decimal" w:pos="972"/>
              </w:tabs>
              <w:jc w:val="both"/>
              <w:rPr>
                <w:szCs w:val="22"/>
              </w:rPr>
            </w:pP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r w:rsidRPr="008C2F68">
              <w:rPr>
                <w:szCs w:val="22"/>
              </w:rPr>
              <w:t>Segment result</w:t>
            </w:r>
          </w:p>
        </w:tc>
        <w:tc>
          <w:tcPr>
            <w:tcW w:w="1371" w:type="dxa"/>
          </w:tcPr>
          <w:p w:rsidR="00FE3A6C" w:rsidRPr="008C2F68" w:rsidRDefault="00FE3A6C" w:rsidP="00327B87">
            <w:pPr>
              <w:tabs>
                <w:tab w:val="clear" w:pos="720"/>
                <w:tab w:val="clear" w:pos="1440"/>
                <w:tab w:val="decimal" w:pos="1083"/>
              </w:tabs>
              <w:jc w:val="both"/>
              <w:rPr>
                <w:szCs w:val="22"/>
                <w:lang w:eastAsia="zh-CN"/>
              </w:rPr>
            </w:pPr>
            <w:r w:rsidRPr="008C2F68">
              <w:rPr>
                <w:szCs w:val="22"/>
                <w:lang w:eastAsia="zh-CN"/>
              </w:rPr>
              <w:t>(</w:t>
            </w:r>
            <w:r w:rsidR="00327B87" w:rsidRPr="008C2F68">
              <w:rPr>
                <w:szCs w:val="22"/>
                <w:lang w:eastAsia="zh-CN"/>
              </w:rPr>
              <w:t>1,219</w:t>
            </w:r>
            <w:r w:rsidRPr="008C2F68">
              <w:rPr>
                <w:szCs w:val="22"/>
                <w:lang w:eastAsia="zh-CN"/>
              </w:rPr>
              <w:t>)</w:t>
            </w:r>
          </w:p>
        </w:tc>
        <w:tc>
          <w:tcPr>
            <w:tcW w:w="1800" w:type="dxa"/>
          </w:tcPr>
          <w:p w:rsidR="00FE3A6C" w:rsidRPr="008C2F68" w:rsidRDefault="00327B87" w:rsidP="00EA2834">
            <w:pPr>
              <w:tabs>
                <w:tab w:val="clear" w:pos="720"/>
                <w:tab w:val="clear" w:pos="1440"/>
                <w:tab w:val="decimal" w:pos="1584"/>
              </w:tabs>
              <w:ind w:firstLine="764"/>
              <w:jc w:val="right"/>
              <w:rPr>
                <w:szCs w:val="22"/>
                <w:lang w:eastAsia="zh-CN"/>
              </w:rPr>
            </w:pPr>
            <w:r w:rsidRPr="008C2F68">
              <w:rPr>
                <w:szCs w:val="22"/>
                <w:lang w:eastAsia="zh-CN"/>
              </w:rPr>
              <w:t>9,499</w:t>
            </w:r>
          </w:p>
        </w:tc>
        <w:tc>
          <w:tcPr>
            <w:tcW w:w="1710" w:type="dxa"/>
          </w:tcPr>
          <w:p w:rsidR="00FE3A6C" w:rsidRPr="008C2F68" w:rsidRDefault="00327B87" w:rsidP="00366F47">
            <w:pPr>
              <w:tabs>
                <w:tab w:val="clear" w:pos="720"/>
                <w:tab w:val="clear" w:pos="1440"/>
              </w:tabs>
              <w:ind w:right="72"/>
              <w:jc w:val="right"/>
              <w:rPr>
                <w:szCs w:val="22"/>
                <w:lang w:eastAsia="zh-CN"/>
              </w:rPr>
            </w:pPr>
            <w:r w:rsidRPr="008C2F68">
              <w:rPr>
                <w:szCs w:val="22"/>
                <w:lang w:eastAsia="zh-CN"/>
              </w:rPr>
              <w:t>63</w:t>
            </w:r>
            <w:r w:rsidR="00366F47" w:rsidRPr="008C2F68">
              <w:rPr>
                <w:szCs w:val="22"/>
                <w:lang w:eastAsia="zh-CN"/>
              </w:rPr>
              <w:t>4</w:t>
            </w:r>
          </w:p>
        </w:tc>
        <w:tc>
          <w:tcPr>
            <w:tcW w:w="1248" w:type="dxa"/>
          </w:tcPr>
          <w:p w:rsidR="00FE3A6C" w:rsidRPr="008C2F68" w:rsidRDefault="00327B87" w:rsidP="00366F47">
            <w:pPr>
              <w:tabs>
                <w:tab w:val="clear" w:pos="720"/>
                <w:tab w:val="clear" w:pos="1440"/>
                <w:tab w:val="decimal" w:pos="972"/>
              </w:tabs>
              <w:jc w:val="both"/>
              <w:rPr>
                <w:szCs w:val="22"/>
                <w:lang w:eastAsia="zh-CN"/>
              </w:rPr>
            </w:pPr>
            <w:r w:rsidRPr="008C2F68">
              <w:rPr>
                <w:szCs w:val="22"/>
                <w:lang w:eastAsia="zh-CN"/>
              </w:rPr>
              <w:t>8,91</w:t>
            </w:r>
            <w:r w:rsidR="00366F47" w:rsidRPr="008C2F68">
              <w:rPr>
                <w:szCs w:val="22"/>
                <w:lang w:eastAsia="zh-CN"/>
              </w:rPr>
              <w:t>4</w:t>
            </w: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r w:rsidRPr="008C2F68">
              <w:rPr>
                <w:szCs w:val="22"/>
              </w:rPr>
              <w:t xml:space="preserve">Finance costs </w:t>
            </w:r>
          </w:p>
        </w:tc>
        <w:tc>
          <w:tcPr>
            <w:tcW w:w="1371" w:type="dxa"/>
          </w:tcPr>
          <w:p w:rsidR="00FE3A6C" w:rsidRPr="008C2F68" w:rsidRDefault="00FE3A6C" w:rsidP="00EA2834">
            <w:pPr>
              <w:tabs>
                <w:tab w:val="clear" w:pos="720"/>
                <w:tab w:val="clear" w:pos="1440"/>
                <w:tab w:val="decimal" w:pos="1083"/>
              </w:tabs>
              <w:jc w:val="both"/>
              <w:rPr>
                <w:szCs w:val="22"/>
              </w:rPr>
            </w:pPr>
            <w:r w:rsidRPr="008C2F68">
              <w:rPr>
                <w:rFonts w:hint="eastAsia"/>
                <w:szCs w:val="22"/>
                <w:lang w:eastAsia="zh-CN"/>
              </w:rPr>
              <w:t>-</w:t>
            </w:r>
          </w:p>
        </w:tc>
        <w:tc>
          <w:tcPr>
            <w:tcW w:w="1800" w:type="dxa"/>
          </w:tcPr>
          <w:p w:rsidR="00FE3A6C" w:rsidRPr="008C2F68" w:rsidRDefault="00FE3A6C" w:rsidP="00327B87">
            <w:pPr>
              <w:tabs>
                <w:tab w:val="clear" w:pos="720"/>
                <w:tab w:val="clear" w:pos="1440"/>
                <w:tab w:val="decimal" w:pos="1584"/>
              </w:tabs>
              <w:ind w:firstLine="764"/>
              <w:jc w:val="right"/>
              <w:rPr>
                <w:szCs w:val="22"/>
              </w:rPr>
            </w:pPr>
            <w:r w:rsidRPr="008C2F68">
              <w:rPr>
                <w:szCs w:val="22"/>
              </w:rPr>
              <w:t>(</w:t>
            </w:r>
            <w:r w:rsidR="00327B87" w:rsidRPr="008C2F68">
              <w:rPr>
                <w:szCs w:val="22"/>
              </w:rPr>
              <w:t>90</w:t>
            </w:r>
            <w:r w:rsidRPr="008C2F68">
              <w:rPr>
                <w:szCs w:val="22"/>
              </w:rPr>
              <w:t>)</w:t>
            </w:r>
          </w:p>
        </w:tc>
        <w:tc>
          <w:tcPr>
            <w:tcW w:w="1710" w:type="dxa"/>
          </w:tcPr>
          <w:p w:rsidR="00FE3A6C" w:rsidRPr="008C2F68" w:rsidRDefault="00FE3A6C" w:rsidP="00366F47">
            <w:pPr>
              <w:jc w:val="right"/>
              <w:rPr>
                <w:szCs w:val="22"/>
              </w:rPr>
            </w:pPr>
            <w:r w:rsidRPr="008C2F68">
              <w:rPr>
                <w:szCs w:val="22"/>
              </w:rPr>
              <w:t>(</w:t>
            </w:r>
            <w:r w:rsidRPr="008C2F68">
              <w:rPr>
                <w:rFonts w:hint="eastAsia"/>
                <w:szCs w:val="22"/>
                <w:lang w:eastAsia="zh-CN"/>
              </w:rPr>
              <w:t>1</w:t>
            </w:r>
            <w:r w:rsidR="00366F47" w:rsidRPr="008C2F68">
              <w:rPr>
                <w:szCs w:val="22"/>
                <w:lang w:eastAsia="zh-CN"/>
              </w:rPr>
              <w:t>7</w:t>
            </w:r>
            <w:r w:rsidRPr="008C2F68">
              <w:rPr>
                <w:szCs w:val="22"/>
              </w:rPr>
              <w:t>)</w:t>
            </w:r>
          </w:p>
        </w:tc>
        <w:tc>
          <w:tcPr>
            <w:tcW w:w="1248" w:type="dxa"/>
            <w:shd w:val="clear" w:color="auto" w:fill="auto"/>
          </w:tcPr>
          <w:p w:rsidR="00FE3A6C" w:rsidRPr="008C2F68" w:rsidRDefault="00FE3A6C" w:rsidP="00366F47">
            <w:pPr>
              <w:tabs>
                <w:tab w:val="clear" w:pos="720"/>
                <w:tab w:val="clear" w:pos="1440"/>
                <w:tab w:val="decimal" w:pos="972"/>
              </w:tabs>
              <w:jc w:val="both"/>
              <w:rPr>
                <w:szCs w:val="22"/>
              </w:rPr>
            </w:pPr>
            <w:r w:rsidRPr="008C2F68">
              <w:rPr>
                <w:szCs w:val="22"/>
              </w:rPr>
              <w:t xml:space="preserve"> (</w:t>
            </w:r>
            <w:r w:rsidR="00327B87" w:rsidRPr="008C2F68">
              <w:rPr>
                <w:szCs w:val="22"/>
              </w:rPr>
              <w:t>10</w:t>
            </w:r>
            <w:r w:rsidR="00366F47" w:rsidRPr="008C2F68">
              <w:rPr>
                <w:szCs w:val="22"/>
              </w:rPr>
              <w:t>7</w:t>
            </w:r>
            <w:r w:rsidRPr="008C2F68">
              <w:rPr>
                <w:szCs w:val="22"/>
              </w:rPr>
              <w:t>)</w:t>
            </w: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r w:rsidRPr="008C2F68">
              <w:rPr>
                <w:szCs w:val="22"/>
              </w:rPr>
              <w:t>Share of profit in a jointly controlled entity</w:t>
            </w:r>
          </w:p>
        </w:tc>
        <w:tc>
          <w:tcPr>
            <w:tcW w:w="1371" w:type="dxa"/>
          </w:tcPr>
          <w:p w:rsidR="00FE3A6C" w:rsidRPr="008C2F68" w:rsidRDefault="00FE3A6C" w:rsidP="00EA2834">
            <w:pPr>
              <w:tabs>
                <w:tab w:val="clear" w:pos="720"/>
                <w:tab w:val="clear" w:pos="1440"/>
                <w:tab w:val="center" w:pos="486"/>
                <w:tab w:val="decimal" w:pos="1083"/>
              </w:tabs>
              <w:jc w:val="both"/>
              <w:rPr>
                <w:szCs w:val="22"/>
                <w:lang w:eastAsia="zh-CN"/>
              </w:rPr>
            </w:pPr>
          </w:p>
          <w:p w:rsidR="00FE3A6C" w:rsidRPr="008C2F68" w:rsidRDefault="00327B87" w:rsidP="00CC2737">
            <w:pPr>
              <w:tabs>
                <w:tab w:val="clear" w:pos="720"/>
                <w:tab w:val="clear" w:pos="1440"/>
                <w:tab w:val="decimal" w:pos="1083"/>
              </w:tabs>
              <w:jc w:val="both"/>
              <w:rPr>
                <w:szCs w:val="22"/>
                <w:lang w:eastAsia="zh-CN"/>
              </w:rPr>
            </w:pPr>
            <w:r w:rsidRPr="008C2F68">
              <w:rPr>
                <w:szCs w:val="22"/>
                <w:lang w:eastAsia="zh-CN"/>
              </w:rPr>
              <w:t>232</w:t>
            </w:r>
          </w:p>
        </w:tc>
        <w:tc>
          <w:tcPr>
            <w:tcW w:w="1800" w:type="dxa"/>
          </w:tcPr>
          <w:p w:rsidR="00FE3A6C" w:rsidRPr="008C2F68" w:rsidRDefault="00FE3A6C" w:rsidP="00EA2834">
            <w:pPr>
              <w:tabs>
                <w:tab w:val="decimal" w:pos="1512"/>
                <w:tab w:val="decimal" w:pos="1584"/>
              </w:tabs>
              <w:ind w:firstLine="764"/>
              <w:jc w:val="right"/>
              <w:rPr>
                <w:szCs w:val="22"/>
              </w:rPr>
            </w:pPr>
          </w:p>
          <w:p w:rsidR="00FE3A6C" w:rsidRPr="008C2F68" w:rsidRDefault="00FE3A6C" w:rsidP="00EA2834">
            <w:pPr>
              <w:tabs>
                <w:tab w:val="clear" w:pos="720"/>
                <w:tab w:val="clear" w:pos="1440"/>
                <w:tab w:val="decimal" w:pos="1584"/>
              </w:tabs>
              <w:ind w:firstLine="764"/>
              <w:jc w:val="right"/>
              <w:rPr>
                <w:szCs w:val="22"/>
              </w:rPr>
            </w:pPr>
            <w:r w:rsidRPr="008C2F68">
              <w:rPr>
                <w:szCs w:val="22"/>
              </w:rPr>
              <w:t>-</w:t>
            </w:r>
          </w:p>
        </w:tc>
        <w:tc>
          <w:tcPr>
            <w:tcW w:w="1710" w:type="dxa"/>
          </w:tcPr>
          <w:p w:rsidR="00FE3A6C" w:rsidRPr="008C2F68" w:rsidRDefault="00FE3A6C" w:rsidP="00EA2834">
            <w:pPr>
              <w:jc w:val="right"/>
              <w:rPr>
                <w:szCs w:val="22"/>
              </w:rPr>
            </w:pPr>
          </w:p>
          <w:p w:rsidR="00FE3A6C" w:rsidRPr="008C2F68" w:rsidRDefault="00FE3A6C" w:rsidP="00EA2834">
            <w:pPr>
              <w:jc w:val="right"/>
              <w:rPr>
                <w:szCs w:val="22"/>
              </w:rPr>
            </w:pPr>
            <w:r w:rsidRPr="008C2F68">
              <w:rPr>
                <w:szCs w:val="22"/>
              </w:rPr>
              <w:t>-</w:t>
            </w:r>
          </w:p>
        </w:tc>
        <w:tc>
          <w:tcPr>
            <w:tcW w:w="1248" w:type="dxa"/>
            <w:shd w:val="clear" w:color="auto" w:fill="auto"/>
          </w:tcPr>
          <w:p w:rsidR="00FE3A6C" w:rsidRPr="008C2F68" w:rsidRDefault="00FE3A6C" w:rsidP="00EA2834">
            <w:pPr>
              <w:tabs>
                <w:tab w:val="clear" w:pos="720"/>
                <w:tab w:val="clear" w:pos="1440"/>
                <w:tab w:val="decimal" w:pos="972"/>
              </w:tabs>
              <w:jc w:val="both"/>
              <w:rPr>
                <w:szCs w:val="22"/>
                <w:lang w:eastAsia="zh-CN"/>
              </w:rPr>
            </w:pPr>
          </w:p>
          <w:p w:rsidR="00FE3A6C" w:rsidRPr="008C2F68" w:rsidRDefault="00327B87" w:rsidP="00EA2834">
            <w:pPr>
              <w:tabs>
                <w:tab w:val="clear" w:pos="720"/>
                <w:tab w:val="clear" w:pos="1440"/>
                <w:tab w:val="decimal" w:pos="972"/>
              </w:tabs>
              <w:jc w:val="both"/>
              <w:rPr>
                <w:szCs w:val="22"/>
                <w:lang w:eastAsia="zh-CN"/>
              </w:rPr>
            </w:pPr>
            <w:r w:rsidRPr="008C2F68">
              <w:rPr>
                <w:szCs w:val="22"/>
                <w:lang w:eastAsia="zh-CN"/>
              </w:rPr>
              <w:t>232</w:t>
            </w: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r w:rsidRPr="008C2F68">
              <w:rPr>
                <w:szCs w:val="22"/>
              </w:rPr>
              <w:t xml:space="preserve">(Loss)/Profit before tax </w:t>
            </w:r>
          </w:p>
        </w:tc>
        <w:tc>
          <w:tcPr>
            <w:tcW w:w="1371" w:type="dxa"/>
            <w:tcBorders>
              <w:top w:val="single" w:sz="4" w:space="0" w:color="auto"/>
            </w:tcBorders>
          </w:tcPr>
          <w:p w:rsidR="00FE3A6C" w:rsidRPr="008C2F68" w:rsidRDefault="00CE3F3E" w:rsidP="00EA2834">
            <w:pPr>
              <w:tabs>
                <w:tab w:val="clear" w:pos="720"/>
                <w:tab w:val="clear" w:pos="1440"/>
                <w:tab w:val="decimal" w:pos="1083"/>
              </w:tabs>
              <w:jc w:val="both"/>
              <w:rPr>
                <w:szCs w:val="22"/>
                <w:lang w:eastAsia="zh-CN"/>
              </w:rPr>
            </w:pPr>
            <w:r w:rsidRPr="008C2F68">
              <w:rPr>
                <w:szCs w:val="22"/>
                <w:lang w:eastAsia="zh-CN"/>
              </w:rPr>
              <w:t>(987</w:t>
            </w:r>
            <w:r w:rsidR="00FE3A6C" w:rsidRPr="008C2F68">
              <w:rPr>
                <w:szCs w:val="22"/>
                <w:lang w:eastAsia="zh-CN"/>
              </w:rPr>
              <w:t>)</w:t>
            </w:r>
          </w:p>
        </w:tc>
        <w:tc>
          <w:tcPr>
            <w:tcW w:w="1800" w:type="dxa"/>
            <w:tcBorders>
              <w:top w:val="single" w:sz="4" w:space="0" w:color="auto"/>
            </w:tcBorders>
          </w:tcPr>
          <w:p w:rsidR="00FE3A6C" w:rsidRPr="008C2F68" w:rsidRDefault="00CE3F3E" w:rsidP="00EA2834">
            <w:pPr>
              <w:tabs>
                <w:tab w:val="clear" w:pos="720"/>
                <w:tab w:val="clear" w:pos="1440"/>
                <w:tab w:val="decimal" w:pos="1584"/>
              </w:tabs>
              <w:ind w:firstLine="764"/>
              <w:jc w:val="right"/>
              <w:rPr>
                <w:szCs w:val="22"/>
                <w:lang w:eastAsia="zh-CN"/>
              </w:rPr>
            </w:pPr>
            <w:r w:rsidRPr="008C2F68">
              <w:rPr>
                <w:szCs w:val="22"/>
                <w:lang w:eastAsia="zh-CN"/>
              </w:rPr>
              <w:t>9,409</w:t>
            </w:r>
          </w:p>
        </w:tc>
        <w:tc>
          <w:tcPr>
            <w:tcW w:w="1710" w:type="dxa"/>
            <w:tcBorders>
              <w:top w:val="single" w:sz="4" w:space="0" w:color="auto"/>
            </w:tcBorders>
          </w:tcPr>
          <w:p w:rsidR="00FE3A6C" w:rsidRPr="008C2F68" w:rsidRDefault="00CE3F3E" w:rsidP="00EA2834">
            <w:pPr>
              <w:tabs>
                <w:tab w:val="clear" w:pos="720"/>
                <w:tab w:val="clear" w:pos="1440"/>
              </w:tabs>
              <w:ind w:right="72"/>
              <w:jc w:val="right"/>
              <w:rPr>
                <w:szCs w:val="22"/>
                <w:lang w:eastAsia="zh-CN"/>
              </w:rPr>
            </w:pPr>
            <w:r w:rsidRPr="008C2F68">
              <w:rPr>
                <w:szCs w:val="22"/>
                <w:lang w:eastAsia="zh-CN"/>
              </w:rPr>
              <w:t>617</w:t>
            </w:r>
          </w:p>
        </w:tc>
        <w:tc>
          <w:tcPr>
            <w:tcW w:w="1248" w:type="dxa"/>
            <w:tcBorders>
              <w:top w:val="single" w:sz="4" w:space="0" w:color="auto"/>
            </w:tcBorders>
            <w:shd w:val="clear" w:color="auto" w:fill="auto"/>
          </w:tcPr>
          <w:p w:rsidR="00FE3A6C" w:rsidRPr="008C2F68" w:rsidRDefault="006F643B" w:rsidP="00F037AA">
            <w:pPr>
              <w:tabs>
                <w:tab w:val="clear" w:pos="720"/>
                <w:tab w:val="clear" w:pos="1440"/>
                <w:tab w:val="decimal" w:pos="972"/>
              </w:tabs>
              <w:jc w:val="both"/>
              <w:rPr>
                <w:szCs w:val="22"/>
                <w:lang w:eastAsia="zh-CN"/>
              </w:rPr>
            </w:pPr>
            <w:r w:rsidRPr="008C2F68">
              <w:rPr>
                <w:szCs w:val="22"/>
                <w:lang w:eastAsia="zh-CN"/>
              </w:rPr>
              <w:t>9,039</w:t>
            </w: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r w:rsidRPr="008C2F68">
              <w:rPr>
                <w:szCs w:val="22"/>
              </w:rPr>
              <w:t>Tax expense</w:t>
            </w:r>
          </w:p>
        </w:tc>
        <w:tc>
          <w:tcPr>
            <w:tcW w:w="1371" w:type="dxa"/>
            <w:tcBorders>
              <w:bottom w:val="single" w:sz="4" w:space="0" w:color="auto"/>
            </w:tcBorders>
          </w:tcPr>
          <w:p w:rsidR="00FE3A6C" w:rsidRPr="008C2F68" w:rsidRDefault="00CE3F3E" w:rsidP="00327B87">
            <w:pPr>
              <w:tabs>
                <w:tab w:val="clear" w:pos="720"/>
                <w:tab w:val="clear" w:pos="1440"/>
                <w:tab w:val="decimal" w:pos="1083"/>
              </w:tabs>
              <w:jc w:val="both"/>
              <w:rPr>
                <w:szCs w:val="22"/>
              </w:rPr>
            </w:pPr>
            <w:r w:rsidRPr="008C2F68">
              <w:rPr>
                <w:szCs w:val="22"/>
                <w:lang w:eastAsia="zh-CN"/>
              </w:rPr>
              <w:t>(292)</w:t>
            </w:r>
          </w:p>
        </w:tc>
        <w:tc>
          <w:tcPr>
            <w:tcW w:w="1800" w:type="dxa"/>
            <w:tcBorders>
              <w:bottom w:val="single" w:sz="4" w:space="0" w:color="auto"/>
            </w:tcBorders>
          </w:tcPr>
          <w:p w:rsidR="00FE3A6C" w:rsidRPr="008C2F68" w:rsidRDefault="00CE3F3E" w:rsidP="00EA2834">
            <w:pPr>
              <w:tabs>
                <w:tab w:val="clear" w:pos="720"/>
                <w:tab w:val="clear" w:pos="1440"/>
                <w:tab w:val="decimal" w:pos="1584"/>
              </w:tabs>
              <w:ind w:firstLine="764"/>
              <w:jc w:val="right"/>
              <w:rPr>
                <w:szCs w:val="22"/>
              </w:rPr>
            </w:pPr>
            <w:r w:rsidRPr="008C2F68">
              <w:rPr>
                <w:szCs w:val="22"/>
              </w:rPr>
              <w:t>(2,041)</w:t>
            </w:r>
          </w:p>
        </w:tc>
        <w:tc>
          <w:tcPr>
            <w:tcW w:w="1710" w:type="dxa"/>
            <w:tcBorders>
              <w:bottom w:val="single" w:sz="4" w:space="0" w:color="auto"/>
            </w:tcBorders>
          </w:tcPr>
          <w:p w:rsidR="00FE3A6C" w:rsidRPr="008C2F68" w:rsidRDefault="00CE3F3E" w:rsidP="00EA2834">
            <w:pPr>
              <w:jc w:val="right"/>
              <w:rPr>
                <w:szCs w:val="22"/>
              </w:rPr>
            </w:pPr>
            <w:r w:rsidRPr="008C2F68">
              <w:rPr>
                <w:szCs w:val="22"/>
              </w:rPr>
              <w:t>(95)</w:t>
            </w:r>
          </w:p>
        </w:tc>
        <w:tc>
          <w:tcPr>
            <w:tcW w:w="1248" w:type="dxa"/>
            <w:tcBorders>
              <w:bottom w:val="single" w:sz="4" w:space="0" w:color="auto"/>
            </w:tcBorders>
            <w:shd w:val="clear" w:color="auto" w:fill="auto"/>
          </w:tcPr>
          <w:p w:rsidR="00FE3A6C" w:rsidRPr="008C2F68" w:rsidRDefault="00CE3F3E" w:rsidP="00EA2834">
            <w:pPr>
              <w:tabs>
                <w:tab w:val="clear" w:pos="720"/>
                <w:tab w:val="clear" w:pos="1440"/>
                <w:tab w:val="decimal" w:pos="972"/>
              </w:tabs>
              <w:jc w:val="both"/>
              <w:rPr>
                <w:szCs w:val="22"/>
              </w:rPr>
            </w:pPr>
            <w:r w:rsidRPr="008C2F68">
              <w:rPr>
                <w:szCs w:val="22"/>
              </w:rPr>
              <w:t>(2,428)</w:t>
            </w:r>
          </w:p>
        </w:tc>
      </w:tr>
      <w:tr w:rsidR="00FE3A6C" w:rsidRPr="008C2F68" w:rsidTr="00EA2834">
        <w:trPr>
          <w:gridAfter w:val="1"/>
          <w:wAfter w:w="89" w:type="dxa"/>
        </w:trPr>
        <w:tc>
          <w:tcPr>
            <w:tcW w:w="2679" w:type="dxa"/>
            <w:gridSpan w:val="2"/>
          </w:tcPr>
          <w:p w:rsidR="00FE3A6C" w:rsidRPr="008C2F68" w:rsidRDefault="00FE3A6C"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FE3A6C" w:rsidRPr="008C2F68" w:rsidRDefault="00CE3F3E" w:rsidP="00CC2737">
            <w:pPr>
              <w:tabs>
                <w:tab w:val="clear" w:pos="720"/>
                <w:tab w:val="clear" w:pos="1440"/>
                <w:tab w:val="decimal" w:pos="1083"/>
              </w:tabs>
              <w:jc w:val="both"/>
              <w:rPr>
                <w:szCs w:val="22"/>
                <w:lang w:eastAsia="zh-CN"/>
              </w:rPr>
            </w:pPr>
            <w:r w:rsidRPr="008C2F68">
              <w:rPr>
                <w:szCs w:val="22"/>
                <w:lang w:eastAsia="zh-CN"/>
              </w:rPr>
              <w:t>(1,279)</w:t>
            </w:r>
          </w:p>
        </w:tc>
        <w:tc>
          <w:tcPr>
            <w:tcW w:w="1800" w:type="dxa"/>
            <w:tcBorders>
              <w:top w:val="single" w:sz="4" w:space="0" w:color="auto"/>
              <w:bottom w:val="double" w:sz="4" w:space="0" w:color="auto"/>
            </w:tcBorders>
          </w:tcPr>
          <w:p w:rsidR="00FE3A6C" w:rsidRPr="008C2F68" w:rsidRDefault="00CE3F3E" w:rsidP="00EA2834">
            <w:pPr>
              <w:tabs>
                <w:tab w:val="clear" w:pos="720"/>
                <w:tab w:val="clear" w:pos="1440"/>
                <w:tab w:val="decimal" w:pos="1584"/>
              </w:tabs>
              <w:ind w:firstLine="763"/>
              <w:jc w:val="right"/>
              <w:rPr>
                <w:szCs w:val="22"/>
                <w:lang w:eastAsia="zh-CN"/>
              </w:rPr>
            </w:pPr>
            <w:r w:rsidRPr="008C2F68">
              <w:rPr>
                <w:szCs w:val="22"/>
                <w:lang w:eastAsia="zh-CN"/>
              </w:rPr>
              <w:t>7,368</w:t>
            </w:r>
          </w:p>
        </w:tc>
        <w:tc>
          <w:tcPr>
            <w:tcW w:w="1710" w:type="dxa"/>
            <w:tcBorders>
              <w:top w:val="single" w:sz="4" w:space="0" w:color="auto"/>
              <w:bottom w:val="double" w:sz="4" w:space="0" w:color="auto"/>
            </w:tcBorders>
          </w:tcPr>
          <w:p w:rsidR="00FE3A6C" w:rsidRPr="008C2F68" w:rsidRDefault="00CE3F3E" w:rsidP="00EA2834">
            <w:pPr>
              <w:tabs>
                <w:tab w:val="clear" w:pos="720"/>
                <w:tab w:val="clear" w:pos="1440"/>
              </w:tabs>
              <w:ind w:right="72"/>
              <w:jc w:val="right"/>
              <w:rPr>
                <w:szCs w:val="22"/>
                <w:lang w:eastAsia="zh-CN"/>
              </w:rPr>
            </w:pPr>
            <w:r w:rsidRPr="008C2F68">
              <w:rPr>
                <w:szCs w:val="22"/>
                <w:lang w:eastAsia="zh-CN"/>
              </w:rPr>
              <w:t>522</w:t>
            </w:r>
          </w:p>
        </w:tc>
        <w:tc>
          <w:tcPr>
            <w:tcW w:w="1248" w:type="dxa"/>
            <w:tcBorders>
              <w:top w:val="single" w:sz="4" w:space="0" w:color="auto"/>
              <w:bottom w:val="double" w:sz="4" w:space="0" w:color="auto"/>
            </w:tcBorders>
            <w:shd w:val="clear" w:color="auto" w:fill="auto"/>
          </w:tcPr>
          <w:p w:rsidR="00FE3A6C" w:rsidRPr="008C2F68" w:rsidRDefault="00ED7996" w:rsidP="00F037AA">
            <w:pPr>
              <w:tabs>
                <w:tab w:val="clear" w:pos="720"/>
                <w:tab w:val="clear" w:pos="1440"/>
                <w:tab w:val="decimal" w:pos="972"/>
              </w:tabs>
              <w:jc w:val="both"/>
              <w:rPr>
                <w:szCs w:val="22"/>
                <w:lang w:eastAsia="zh-CN"/>
              </w:rPr>
            </w:pPr>
            <w:r w:rsidRPr="008C2F68">
              <w:rPr>
                <w:szCs w:val="22"/>
                <w:lang w:eastAsia="zh-CN"/>
              </w:rPr>
              <w:t>6,611</w:t>
            </w:r>
          </w:p>
        </w:tc>
      </w:tr>
      <w:tr w:rsidR="00FE3A6C" w:rsidRPr="008C2F68" w:rsidTr="00EA2834">
        <w:trPr>
          <w:gridAfter w:val="1"/>
          <w:wAfter w:w="89" w:type="dxa"/>
        </w:trPr>
        <w:tc>
          <w:tcPr>
            <w:tcW w:w="2679" w:type="dxa"/>
            <w:gridSpan w:val="2"/>
          </w:tcPr>
          <w:p w:rsidR="00FE3A6C" w:rsidRPr="008C2F68" w:rsidRDefault="00FE3A6C" w:rsidP="00EA2834">
            <w:pPr>
              <w:jc w:val="both"/>
              <w:rPr>
                <w:sz w:val="18"/>
                <w:szCs w:val="18"/>
              </w:rPr>
            </w:pPr>
          </w:p>
        </w:tc>
        <w:tc>
          <w:tcPr>
            <w:tcW w:w="1371" w:type="dxa"/>
            <w:tcBorders>
              <w:top w:val="double" w:sz="4" w:space="0" w:color="auto"/>
            </w:tcBorders>
          </w:tcPr>
          <w:p w:rsidR="00FE3A6C" w:rsidRPr="008C2F68" w:rsidRDefault="00FE3A6C" w:rsidP="00EA2834">
            <w:pPr>
              <w:tabs>
                <w:tab w:val="decimal" w:pos="1083"/>
              </w:tabs>
              <w:jc w:val="both"/>
              <w:rPr>
                <w:sz w:val="18"/>
                <w:szCs w:val="18"/>
              </w:rPr>
            </w:pPr>
          </w:p>
        </w:tc>
        <w:tc>
          <w:tcPr>
            <w:tcW w:w="1800" w:type="dxa"/>
            <w:tcBorders>
              <w:top w:val="double" w:sz="4" w:space="0" w:color="auto"/>
            </w:tcBorders>
          </w:tcPr>
          <w:p w:rsidR="00FE3A6C" w:rsidRPr="008C2F68" w:rsidRDefault="00FE3A6C" w:rsidP="00EA2834">
            <w:pPr>
              <w:tabs>
                <w:tab w:val="decimal" w:pos="1584"/>
              </w:tabs>
              <w:ind w:firstLine="764"/>
              <w:jc w:val="right"/>
              <w:rPr>
                <w:sz w:val="18"/>
                <w:szCs w:val="18"/>
              </w:rPr>
            </w:pPr>
          </w:p>
        </w:tc>
        <w:tc>
          <w:tcPr>
            <w:tcW w:w="1710" w:type="dxa"/>
            <w:tcBorders>
              <w:top w:val="double" w:sz="4" w:space="0" w:color="auto"/>
            </w:tcBorders>
          </w:tcPr>
          <w:p w:rsidR="00FE3A6C" w:rsidRPr="008C2F68" w:rsidRDefault="00FE3A6C" w:rsidP="00EA2834">
            <w:pPr>
              <w:jc w:val="right"/>
              <w:rPr>
                <w:sz w:val="18"/>
                <w:szCs w:val="18"/>
              </w:rPr>
            </w:pPr>
          </w:p>
        </w:tc>
        <w:tc>
          <w:tcPr>
            <w:tcW w:w="1248" w:type="dxa"/>
            <w:tcBorders>
              <w:top w:val="double" w:sz="4" w:space="0" w:color="auto"/>
            </w:tcBorders>
          </w:tcPr>
          <w:p w:rsidR="00FE3A6C" w:rsidRPr="008C2F68" w:rsidRDefault="00FE3A6C" w:rsidP="00EA2834">
            <w:pPr>
              <w:tabs>
                <w:tab w:val="decimal" w:pos="972"/>
              </w:tabs>
              <w:jc w:val="both"/>
              <w:rPr>
                <w:sz w:val="18"/>
                <w:szCs w:val="18"/>
              </w:rPr>
            </w:pPr>
          </w:p>
        </w:tc>
      </w:tr>
      <w:tr w:rsidR="00FE3A6C" w:rsidRPr="008C2F68" w:rsidTr="00EA2834">
        <w:trPr>
          <w:gridBefore w:val="1"/>
          <w:wBefore w:w="6" w:type="dxa"/>
        </w:trPr>
        <w:tc>
          <w:tcPr>
            <w:tcW w:w="2673" w:type="dxa"/>
          </w:tcPr>
          <w:p w:rsidR="00FE3A6C" w:rsidRPr="008C2F68" w:rsidRDefault="00FE3A6C" w:rsidP="00EA2834">
            <w:pPr>
              <w:jc w:val="both"/>
              <w:rPr>
                <w:b/>
                <w:szCs w:val="22"/>
              </w:rPr>
            </w:pPr>
            <w:r w:rsidRPr="008C2F68">
              <w:rPr>
                <w:b/>
                <w:szCs w:val="22"/>
              </w:rPr>
              <w:t>Consolidated Statement of Financial Position</w:t>
            </w:r>
          </w:p>
        </w:tc>
        <w:tc>
          <w:tcPr>
            <w:tcW w:w="1371" w:type="dxa"/>
          </w:tcPr>
          <w:p w:rsidR="00FE3A6C" w:rsidRPr="008C2F68" w:rsidRDefault="00FE3A6C" w:rsidP="00EA2834">
            <w:pPr>
              <w:tabs>
                <w:tab w:val="decimal" w:pos="1083"/>
              </w:tabs>
              <w:jc w:val="both"/>
              <w:rPr>
                <w:szCs w:val="22"/>
              </w:rPr>
            </w:pPr>
          </w:p>
        </w:tc>
        <w:tc>
          <w:tcPr>
            <w:tcW w:w="1800" w:type="dxa"/>
          </w:tcPr>
          <w:p w:rsidR="00FE3A6C" w:rsidRPr="008C2F68" w:rsidRDefault="00FE3A6C" w:rsidP="00EA2834">
            <w:pPr>
              <w:jc w:val="right"/>
              <w:rPr>
                <w:szCs w:val="22"/>
              </w:rPr>
            </w:pPr>
          </w:p>
        </w:tc>
        <w:tc>
          <w:tcPr>
            <w:tcW w:w="1710" w:type="dxa"/>
          </w:tcPr>
          <w:p w:rsidR="00FE3A6C" w:rsidRPr="008C2F68" w:rsidRDefault="00FE3A6C" w:rsidP="00EA2834">
            <w:pPr>
              <w:jc w:val="right"/>
              <w:rPr>
                <w:szCs w:val="22"/>
              </w:rPr>
            </w:pPr>
          </w:p>
        </w:tc>
        <w:tc>
          <w:tcPr>
            <w:tcW w:w="1337" w:type="dxa"/>
            <w:gridSpan w:val="2"/>
          </w:tcPr>
          <w:p w:rsidR="00FE3A6C" w:rsidRPr="008C2F68" w:rsidRDefault="00FE3A6C" w:rsidP="00EA2834">
            <w:pPr>
              <w:tabs>
                <w:tab w:val="decimal" w:pos="972"/>
              </w:tabs>
              <w:jc w:val="both"/>
              <w:rPr>
                <w:szCs w:val="22"/>
              </w:rPr>
            </w:pPr>
          </w:p>
        </w:tc>
      </w:tr>
      <w:tr w:rsidR="00FE3A6C" w:rsidRPr="008C2F68" w:rsidTr="00EA2834">
        <w:trPr>
          <w:gridBefore w:val="1"/>
          <w:wBefore w:w="6" w:type="dxa"/>
        </w:trPr>
        <w:tc>
          <w:tcPr>
            <w:tcW w:w="2673" w:type="dxa"/>
          </w:tcPr>
          <w:p w:rsidR="00FE3A6C" w:rsidRPr="008C2F68" w:rsidRDefault="00FE3A6C" w:rsidP="00EA2834">
            <w:pPr>
              <w:jc w:val="both"/>
              <w:rPr>
                <w:szCs w:val="22"/>
              </w:rPr>
            </w:pPr>
            <w:r w:rsidRPr="008C2F68">
              <w:rPr>
                <w:szCs w:val="22"/>
              </w:rPr>
              <w:t>Segment assets</w:t>
            </w:r>
          </w:p>
        </w:tc>
        <w:tc>
          <w:tcPr>
            <w:tcW w:w="1371" w:type="dxa"/>
          </w:tcPr>
          <w:p w:rsidR="00FE3A6C" w:rsidRPr="008C2F68" w:rsidRDefault="003E1307" w:rsidP="00EE2B1A">
            <w:pPr>
              <w:tabs>
                <w:tab w:val="clear" w:pos="720"/>
                <w:tab w:val="clear" w:pos="1440"/>
                <w:tab w:val="decimal" w:pos="1083"/>
              </w:tabs>
              <w:jc w:val="both"/>
              <w:rPr>
                <w:szCs w:val="22"/>
                <w:lang w:eastAsia="zh-CN"/>
              </w:rPr>
            </w:pPr>
            <w:r w:rsidRPr="008C2F68">
              <w:rPr>
                <w:szCs w:val="22"/>
                <w:lang w:eastAsia="zh-CN"/>
              </w:rPr>
              <w:t>8,720</w:t>
            </w:r>
          </w:p>
        </w:tc>
        <w:tc>
          <w:tcPr>
            <w:tcW w:w="1800" w:type="dxa"/>
          </w:tcPr>
          <w:p w:rsidR="00FE3A6C" w:rsidRPr="008C2F68" w:rsidRDefault="003E1307" w:rsidP="00EA2834">
            <w:pPr>
              <w:jc w:val="right"/>
              <w:rPr>
                <w:szCs w:val="22"/>
                <w:lang w:eastAsia="zh-CN"/>
              </w:rPr>
            </w:pPr>
            <w:r w:rsidRPr="008C2F68">
              <w:rPr>
                <w:szCs w:val="22"/>
                <w:lang w:eastAsia="zh-CN"/>
              </w:rPr>
              <w:t>73,228</w:t>
            </w:r>
          </w:p>
        </w:tc>
        <w:tc>
          <w:tcPr>
            <w:tcW w:w="1710" w:type="dxa"/>
          </w:tcPr>
          <w:p w:rsidR="00FE3A6C" w:rsidRPr="008C2F68" w:rsidRDefault="003E1307" w:rsidP="00EE2B1A">
            <w:pPr>
              <w:tabs>
                <w:tab w:val="clear" w:pos="720"/>
                <w:tab w:val="clear" w:pos="1440"/>
              </w:tabs>
              <w:ind w:right="72"/>
              <w:jc w:val="right"/>
              <w:rPr>
                <w:szCs w:val="22"/>
                <w:lang w:eastAsia="zh-CN"/>
              </w:rPr>
            </w:pPr>
            <w:r w:rsidRPr="008C2F68">
              <w:rPr>
                <w:szCs w:val="22"/>
                <w:lang w:eastAsia="zh-CN"/>
              </w:rPr>
              <w:t>10,256</w:t>
            </w:r>
          </w:p>
        </w:tc>
        <w:tc>
          <w:tcPr>
            <w:tcW w:w="1337" w:type="dxa"/>
            <w:gridSpan w:val="2"/>
          </w:tcPr>
          <w:p w:rsidR="00FE3A6C" w:rsidRPr="008C2F68" w:rsidRDefault="003E1307" w:rsidP="00EA2834">
            <w:pPr>
              <w:tabs>
                <w:tab w:val="clear" w:pos="720"/>
                <w:tab w:val="clear" w:pos="1440"/>
                <w:tab w:val="decimal" w:pos="972"/>
              </w:tabs>
              <w:jc w:val="both"/>
              <w:rPr>
                <w:szCs w:val="22"/>
                <w:lang w:eastAsia="zh-CN"/>
              </w:rPr>
            </w:pPr>
            <w:r w:rsidRPr="008C2F68">
              <w:rPr>
                <w:szCs w:val="22"/>
                <w:lang w:eastAsia="zh-CN"/>
              </w:rPr>
              <w:t>92,204</w:t>
            </w:r>
          </w:p>
        </w:tc>
      </w:tr>
      <w:tr w:rsidR="00FE3A6C" w:rsidRPr="008C2F68" w:rsidTr="00EA2834">
        <w:trPr>
          <w:gridBefore w:val="1"/>
          <w:wBefore w:w="6" w:type="dxa"/>
        </w:trPr>
        <w:tc>
          <w:tcPr>
            <w:tcW w:w="2673" w:type="dxa"/>
          </w:tcPr>
          <w:p w:rsidR="00FE3A6C" w:rsidRPr="008C2F68" w:rsidRDefault="00FE3A6C" w:rsidP="00EA2834">
            <w:pPr>
              <w:jc w:val="both"/>
              <w:rPr>
                <w:szCs w:val="22"/>
              </w:rPr>
            </w:pPr>
            <w:r w:rsidRPr="008C2F68">
              <w:rPr>
                <w:szCs w:val="22"/>
              </w:rPr>
              <w:t>Segment liabilities</w:t>
            </w:r>
          </w:p>
        </w:tc>
        <w:tc>
          <w:tcPr>
            <w:tcW w:w="1371" w:type="dxa"/>
          </w:tcPr>
          <w:p w:rsidR="00FE3A6C" w:rsidRPr="008C2F68" w:rsidRDefault="003E1307" w:rsidP="00EA2834">
            <w:pPr>
              <w:tabs>
                <w:tab w:val="clear" w:pos="720"/>
                <w:tab w:val="clear" w:pos="1440"/>
                <w:tab w:val="decimal" w:pos="1083"/>
              </w:tabs>
              <w:jc w:val="both"/>
              <w:rPr>
                <w:szCs w:val="22"/>
                <w:lang w:eastAsia="zh-CN"/>
              </w:rPr>
            </w:pPr>
            <w:r w:rsidRPr="008C2F68">
              <w:rPr>
                <w:szCs w:val="22"/>
                <w:lang w:eastAsia="zh-CN"/>
              </w:rPr>
              <w:t>392</w:t>
            </w:r>
          </w:p>
        </w:tc>
        <w:tc>
          <w:tcPr>
            <w:tcW w:w="1800" w:type="dxa"/>
          </w:tcPr>
          <w:p w:rsidR="00FE3A6C" w:rsidRPr="008C2F68" w:rsidRDefault="003E1307" w:rsidP="00EE2B1A">
            <w:pPr>
              <w:jc w:val="right"/>
              <w:rPr>
                <w:szCs w:val="22"/>
                <w:lang w:eastAsia="zh-CN"/>
              </w:rPr>
            </w:pPr>
            <w:r w:rsidRPr="008C2F68">
              <w:rPr>
                <w:szCs w:val="22"/>
                <w:lang w:eastAsia="zh-CN"/>
              </w:rPr>
              <w:t>13,495</w:t>
            </w:r>
          </w:p>
        </w:tc>
        <w:tc>
          <w:tcPr>
            <w:tcW w:w="1710" w:type="dxa"/>
          </w:tcPr>
          <w:p w:rsidR="00FE3A6C" w:rsidRPr="008C2F68" w:rsidRDefault="003E1307" w:rsidP="00EA2834">
            <w:pPr>
              <w:tabs>
                <w:tab w:val="clear" w:pos="720"/>
                <w:tab w:val="clear" w:pos="1440"/>
              </w:tabs>
              <w:ind w:right="72"/>
              <w:jc w:val="right"/>
              <w:rPr>
                <w:szCs w:val="22"/>
                <w:lang w:eastAsia="zh-CN"/>
              </w:rPr>
            </w:pPr>
            <w:r w:rsidRPr="008C2F68">
              <w:rPr>
                <w:szCs w:val="22"/>
                <w:lang w:eastAsia="zh-CN"/>
              </w:rPr>
              <w:t>1,099</w:t>
            </w:r>
          </w:p>
        </w:tc>
        <w:tc>
          <w:tcPr>
            <w:tcW w:w="1337" w:type="dxa"/>
            <w:gridSpan w:val="2"/>
          </w:tcPr>
          <w:p w:rsidR="00FE3A6C" w:rsidRPr="008C2F68" w:rsidRDefault="003E1307" w:rsidP="00EE2B1A">
            <w:pPr>
              <w:tabs>
                <w:tab w:val="clear" w:pos="720"/>
                <w:tab w:val="clear" w:pos="1440"/>
                <w:tab w:val="decimal" w:pos="972"/>
              </w:tabs>
              <w:jc w:val="both"/>
              <w:rPr>
                <w:szCs w:val="22"/>
                <w:lang w:eastAsia="zh-CN"/>
              </w:rPr>
            </w:pPr>
            <w:r w:rsidRPr="008C2F68">
              <w:rPr>
                <w:szCs w:val="22"/>
                <w:lang w:eastAsia="zh-CN"/>
              </w:rPr>
              <w:t>14,986</w:t>
            </w:r>
          </w:p>
        </w:tc>
      </w:tr>
    </w:tbl>
    <w:p w:rsidR="002D3D46" w:rsidRPr="008C2F68" w:rsidRDefault="002D3D46" w:rsidP="002D3D46">
      <w:pPr>
        <w:rPr>
          <w:lang w:eastAsia="zh-CN"/>
        </w:rPr>
      </w:pPr>
    </w:p>
    <w:p w:rsidR="00E157C0" w:rsidRPr="008C2F68" w:rsidRDefault="00E157C0" w:rsidP="00B85D43">
      <w:pPr>
        <w:rPr>
          <w:lang w:eastAsia="zh-CN"/>
        </w:rPr>
      </w:pPr>
    </w:p>
    <w:p w:rsidR="00E157C0" w:rsidRPr="008C2F68" w:rsidRDefault="00F120D5" w:rsidP="00E157C0">
      <w:pPr>
        <w:pStyle w:val="bodytest"/>
        <w:keepNext w:val="0"/>
        <w:outlineLvl w:val="9"/>
        <w:rPr>
          <w:b/>
          <w:szCs w:val="22"/>
          <w:u w:val="single"/>
          <w:lang w:eastAsia="zh-CN"/>
        </w:rPr>
      </w:pPr>
      <w:r w:rsidRPr="008C2F68">
        <w:rPr>
          <w:b/>
          <w:szCs w:val="22"/>
          <w:u w:val="single"/>
          <w:lang w:eastAsia="zh-CN"/>
        </w:rPr>
        <w:t>9</w:t>
      </w:r>
      <w:r w:rsidR="00E157C0" w:rsidRPr="008C2F68">
        <w:rPr>
          <w:rFonts w:hint="eastAsia"/>
          <w:b/>
          <w:szCs w:val="22"/>
          <w:u w:val="single"/>
          <w:lang w:eastAsia="zh-CN"/>
        </w:rPr>
        <w:t xml:space="preserve"> months ended 3</w:t>
      </w:r>
      <w:r w:rsidR="00353FF8" w:rsidRPr="008C2F68">
        <w:rPr>
          <w:b/>
          <w:szCs w:val="22"/>
          <w:u w:val="single"/>
          <w:lang w:eastAsia="zh-CN"/>
        </w:rPr>
        <w:t>0</w:t>
      </w:r>
      <w:r w:rsidR="00E157C0" w:rsidRPr="008C2F68">
        <w:rPr>
          <w:rFonts w:hint="eastAsia"/>
          <w:b/>
          <w:szCs w:val="22"/>
          <w:u w:val="single"/>
          <w:lang w:eastAsia="zh-CN"/>
        </w:rPr>
        <w:t xml:space="preserve"> </w:t>
      </w:r>
      <w:r w:rsidRPr="008C2F68">
        <w:rPr>
          <w:b/>
          <w:szCs w:val="22"/>
          <w:u w:val="single"/>
          <w:lang w:eastAsia="zh-CN"/>
        </w:rPr>
        <w:t>September</w:t>
      </w:r>
      <w:r w:rsidR="00E157C0" w:rsidRPr="008C2F68">
        <w:rPr>
          <w:rFonts w:hint="eastAsia"/>
          <w:b/>
          <w:szCs w:val="22"/>
          <w:u w:val="single"/>
          <w:lang w:eastAsia="zh-CN"/>
        </w:rPr>
        <w:t xml:space="preserve"> 201</w:t>
      </w:r>
      <w:r w:rsidR="00AF695E" w:rsidRPr="008C2F68">
        <w:rPr>
          <w:b/>
          <w:szCs w:val="22"/>
          <w:u w:val="single"/>
          <w:lang w:eastAsia="zh-CN"/>
        </w:rPr>
        <w:t>2</w:t>
      </w:r>
    </w:p>
    <w:p w:rsidR="00E157C0" w:rsidRPr="008C2F68" w:rsidRDefault="00E157C0" w:rsidP="00E157C0">
      <w:pPr>
        <w:pStyle w:val="bodytest"/>
        <w:keepNext w:val="0"/>
        <w:outlineLvl w:val="9"/>
        <w:rPr>
          <w:szCs w:val="22"/>
          <w:lang w:eastAsia="zh-CN"/>
        </w:rPr>
      </w:pPr>
    </w:p>
    <w:tbl>
      <w:tblPr>
        <w:tblW w:w="8897" w:type="dxa"/>
        <w:tblInd w:w="738" w:type="dxa"/>
        <w:tblLayout w:type="fixed"/>
        <w:tblLook w:val="0000" w:firstRow="0" w:lastRow="0" w:firstColumn="0" w:lastColumn="0" w:noHBand="0" w:noVBand="0"/>
      </w:tblPr>
      <w:tblGrid>
        <w:gridCol w:w="6"/>
        <w:gridCol w:w="2673"/>
        <w:gridCol w:w="1371"/>
        <w:gridCol w:w="1800"/>
        <w:gridCol w:w="1710"/>
        <w:gridCol w:w="1248"/>
        <w:gridCol w:w="89"/>
      </w:tblGrid>
      <w:tr w:rsidR="001575ED" w:rsidRPr="008C2F68" w:rsidTr="00A06C04">
        <w:trPr>
          <w:gridAfter w:val="1"/>
          <w:wAfter w:w="89" w:type="dxa"/>
        </w:trPr>
        <w:tc>
          <w:tcPr>
            <w:tcW w:w="2679" w:type="dxa"/>
            <w:gridSpan w:val="2"/>
          </w:tcPr>
          <w:p w:rsidR="001575ED" w:rsidRPr="008C2F68" w:rsidRDefault="001575ED" w:rsidP="003A51C3">
            <w:pPr>
              <w:jc w:val="both"/>
              <w:rPr>
                <w:szCs w:val="22"/>
              </w:rPr>
            </w:pPr>
          </w:p>
        </w:tc>
        <w:tc>
          <w:tcPr>
            <w:tcW w:w="1371" w:type="dxa"/>
          </w:tcPr>
          <w:p w:rsidR="001575ED" w:rsidRPr="008C2F68" w:rsidRDefault="001575ED" w:rsidP="003A51C3">
            <w:pPr>
              <w:jc w:val="right"/>
              <w:rPr>
                <w:szCs w:val="22"/>
              </w:rPr>
            </w:pPr>
            <w:r w:rsidRPr="008C2F68">
              <w:rPr>
                <w:szCs w:val="22"/>
              </w:rPr>
              <w:t>Investment Holding</w:t>
            </w:r>
          </w:p>
        </w:tc>
        <w:tc>
          <w:tcPr>
            <w:tcW w:w="1800" w:type="dxa"/>
          </w:tcPr>
          <w:p w:rsidR="001575ED" w:rsidRPr="008C2F68" w:rsidRDefault="001575ED" w:rsidP="00A06C04">
            <w:pPr>
              <w:tabs>
                <w:tab w:val="clear" w:pos="1440"/>
                <w:tab w:val="left" w:pos="1602"/>
              </w:tabs>
              <w:jc w:val="right"/>
              <w:rPr>
                <w:szCs w:val="22"/>
              </w:rPr>
            </w:pPr>
            <w:r w:rsidRPr="008C2F68">
              <w:rPr>
                <w:szCs w:val="22"/>
              </w:rPr>
              <w:t>Manufacturing of Polymeric product</w:t>
            </w:r>
          </w:p>
        </w:tc>
        <w:tc>
          <w:tcPr>
            <w:tcW w:w="1710" w:type="dxa"/>
          </w:tcPr>
          <w:p w:rsidR="001575ED" w:rsidRPr="008C2F68" w:rsidRDefault="001575ED" w:rsidP="003A51C3">
            <w:pPr>
              <w:jc w:val="right"/>
              <w:rPr>
                <w:szCs w:val="22"/>
              </w:rPr>
            </w:pPr>
            <w:r w:rsidRPr="008C2F68">
              <w:rPr>
                <w:szCs w:val="22"/>
              </w:rPr>
              <w:t xml:space="preserve">Manufacturing of </w:t>
            </w:r>
            <w:proofErr w:type="spellStart"/>
            <w:r w:rsidRPr="008C2F68">
              <w:rPr>
                <w:szCs w:val="22"/>
              </w:rPr>
              <w:t>Oleochemical</w:t>
            </w:r>
            <w:proofErr w:type="spellEnd"/>
            <w:r w:rsidRPr="008C2F68">
              <w:rPr>
                <w:szCs w:val="22"/>
              </w:rPr>
              <w:t xml:space="preserve"> product</w:t>
            </w:r>
          </w:p>
        </w:tc>
        <w:tc>
          <w:tcPr>
            <w:tcW w:w="1248" w:type="dxa"/>
          </w:tcPr>
          <w:p w:rsidR="001575ED" w:rsidRPr="008C2F68" w:rsidRDefault="001575ED" w:rsidP="003A51C3">
            <w:pPr>
              <w:jc w:val="right"/>
              <w:rPr>
                <w:szCs w:val="22"/>
              </w:rPr>
            </w:pPr>
            <w:r w:rsidRPr="008C2F68">
              <w:rPr>
                <w:szCs w:val="22"/>
              </w:rPr>
              <w:t>Total</w:t>
            </w:r>
          </w:p>
        </w:tc>
      </w:tr>
      <w:tr w:rsidR="001575ED" w:rsidRPr="008C2F68" w:rsidTr="00A06C04">
        <w:trPr>
          <w:gridAfter w:val="1"/>
          <w:wAfter w:w="89" w:type="dxa"/>
        </w:trPr>
        <w:tc>
          <w:tcPr>
            <w:tcW w:w="2679" w:type="dxa"/>
            <w:gridSpan w:val="2"/>
          </w:tcPr>
          <w:p w:rsidR="001575ED" w:rsidRPr="008C2F68" w:rsidRDefault="001575ED" w:rsidP="003A51C3">
            <w:pPr>
              <w:jc w:val="both"/>
              <w:rPr>
                <w:szCs w:val="22"/>
              </w:rPr>
            </w:pPr>
          </w:p>
        </w:tc>
        <w:tc>
          <w:tcPr>
            <w:tcW w:w="1371" w:type="dxa"/>
          </w:tcPr>
          <w:p w:rsidR="001575ED" w:rsidRPr="008C2F68" w:rsidRDefault="001575ED" w:rsidP="003A51C3">
            <w:pPr>
              <w:jc w:val="right"/>
              <w:rPr>
                <w:szCs w:val="22"/>
              </w:rPr>
            </w:pPr>
            <w:r w:rsidRPr="008C2F68">
              <w:rPr>
                <w:szCs w:val="22"/>
              </w:rPr>
              <w:t>RM’000</w:t>
            </w:r>
          </w:p>
        </w:tc>
        <w:tc>
          <w:tcPr>
            <w:tcW w:w="1800" w:type="dxa"/>
          </w:tcPr>
          <w:p w:rsidR="001575ED" w:rsidRPr="008C2F68" w:rsidRDefault="001575ED" w:rsidP="003A51C3">
            <w:pPr>
              <w:jc w:val="right"/>
              <w:rPr>
                <w:szCs w:val="22"/>
              </w:rPr>
            </w:pPr>
            <w:r w:rsidRPr="008C2F68">
              <w:rPr>
                <w:szCs w:val="22"/>
              </w:rPr>
              <w:t>RM’000</w:t>
            </w:r>
          </w:p>
        </w:tc>
        <w:tc>
          <w:tcPr>
            <w:tcW w:w="1710" w:type="dxa"/>
          </w:tcPr>
          <w:p w:rsidR="001575ED" w:rsidRPr="008C2F68" w:rsidRDefault="001575ED" w:rsidP="003A51C3">
            <w:pPr>
              <w:jc w:val="right"/>
              <w:rPr>
                <w:szCs w:val="22"/>
              </w:rPr>
            </w:pPr>
            <w:r w:rsidRPr="008C2F68">
              <w:rPr>
                <w:szCs w:val="22"/>
              </w:rPr>
              <w:t>RM’000</w:t>
            </w:r>
          </w:p>
        </w:tc>
        <w:tc>
          <w:tcPr>
            <w:tcW w:w="1248" w:type="dxa"/>
          </w:tcPr>
          <w:p w:rsidR="001575ED" w:rsidRPr="008C2F68" w:rsidRDefault="001575ED" w:rsidP="003A51C3">
            <w:pPr>
              <w:jc w:val="right"/>
              <w:rPr>
                <w:szCs w:val="22"/>
              </w:rPr>
            </w:pPr>
            <w:r w:rsidRPr="008C2F68">
              <w:rPr>
                <w:szCs w:val="22"/>
              </w:rPr>
              <w:t>RM’000</w:t>
            </w:r>
          </w:p>
        </w:tc>
      </w:tr>
      <w:tr w:rsidR="001575ED" w:rsidRPr="008C2F68" w:rsidTr="00700ABC">
        <w:trPr>
          <w:gridAfter w:val="1"/>
          <w:wAfter w:w="89" w:type="dxa"/>
          <w:trHeight w:val="189"/>
        </w:trPr>
        <w:tc>
          <w:tcPr>
            <w:tcW w:w="2679" w:type="dxa"/>
            <w:gridSpan w:val="2"/>
          </w:tcPr>
          <w:p w:rsidR="001575ED" w:rsidRPr="008C2F68" w:rsidRDefault="001575ED" w:rsidP="003A51C3">
            <w:pPr>
              <w:rPr>
                <w:b/>
                <w:szCs w:val="22"/>
              </w:rPr>
            </w:pPr>
            <w:r w:rsidRPr="008C2F68">
              <w:rPr>
                <w:b/>
                <w:szCs w:val="22"/>
              </w:rPr>
              <w:t>REVENUE</w:t>
            </w:r>
          </w:p>
        </w:tc>
        <w:tc>
          <w:tcPr>
            <w:tcW w:w="1371" w:type="dxa"/>
          </w:tcPr>
          <w:p w:rsidR="001575ED" w:rsidRPr="008C2F68" w:rsidRDefault="001575ED" w:rsidP="003A51C3">
            <w:pPr>
              <w:jc w:val="right"/>
              <w:rPr>
                <w:szCs w:val="22"/>
              </w:rPr>
            </w:pPr>
          </w:p>
        </w:tc>
        <w:tc>
          <w:tcPr>
            <w:tcW w:w="1800" w:type="dxa"/>
          </w:tcPr>
          <w:p w:rsidR="001575ED" w:rsidRPr="008C2F68" w:rsidRDefault="001575ED" w:rsidP="003A51C3">
            <w:pPr>
              <w:jc w:val="right"/>
              <w:rPr>
                <w:szCs w:val="22"/>
              </w:rPr>
            </w:pPr>
          </w:p>
        </w:tc>
        <w:tc>
          <w:tcPr>
            <w:tcW w:w="1710" w:type="dxa"/>
          </w:tcPr>
          <w:p w:rsidR="001575ED" w:rsidRPr="008C2F68" w:rsidRDefault="001575ED" w:rsidP="003A51C3">
            <w:pPr>
              <w:jc w:val="right"/>
              <w:rPr>
                <w:szCs w:val="22"/>
              </w:rPr>
            </w:pPr>
          </w:p>
        </w:tc>
        <w:tc>
          <w:tcPr>
            <w:tcW w:w="1248" w:type="dxa"/>
          </w:tcPr>
          <w:p w:rsidR="001575ED" w:rsidRPr="008C2F68" w:rsidRDefault="001575ED" w:rsidP="003A51C3">
            <w:pPr>
              <w:jc w:val="right"/>
              <w:rPr>
                <w:szCs w:val="22"/>
              </w:rPr>
            </w:pPr>
          </w:p>
        </w:tc>
      </w:tr>
      <w:tr w:rsidR="00631B07" w:rsidRPr="008C2F68" w:rsidTr="00A06C04">
        <w:trPr>
          <w:gridAfter w:val="1"/>
          <w:wAfter w:w="89" w:type="dxa"/>
        </w:trPr>
        <w:tc>
          <w:tcPr>
            <w:tcW w:w="2679" w:type="dxa"/>
            <w:gridSpan w:val="2"/>
          </w:tcPr>
          <w:p w:rsidR="00631B07" w:rsidRPr="008C2F68" w:rsidRDefault="00631B07" w:rsidP="00C40FC7">
            <w:pPr>
              <w:rPr>
                <w:szCs w:val="22"/>
                <w:lang w:eastAsia="zh-CN"/>
              </w:rPr>
            </w:pPr>
            <w:r w:rsidRPr="008C2F68">
              <w:rPr>
                <w:rFonts w:hint="eastAsia"/>
                <w:szCs w:val="22"/>
                <w:lang w:eastAsia="zh-CN"/>
              </w:rPr>
              <w:t>Sales (Gross)</w:t>
            </w:r>
          </w:p>
        </w:tc>
        <w:tc>
          <w:tcPr>
            <w:tcW w:w="1371" w:type="dxa"/>
          </w:tcPr>
          <w:p w:rsidR="00631B07" w:rsidRPr="008C2F68" w:rsidRDefault="00F120D5" w:rsidP="007F7D22">
            <w:pPr>
              <w:tabs>
                <w:tab w:val="clear" w:pos="720"/>
                <w:tab w:val="clear" w:pos="1440"/>
                <w:tab w:val="decimal" w:pos="1083"/>
              </w:tabs>
              <w:jc w:val="both"/>
              <w:rPr>
                <w:szCs w:val="22"/>
                <w:lang w:eastAsia="zh-CN"/>
              </w:rPr>
            </w:pPr>
            <w:r w:rsidRPr="008C2F68">
              <w:rPr>
                <w:szCs w:val="22"/>
                <w:lang w:eastAsia="zh-CN"/>
              </w:rPr>
              <w:t>5,832</w:t>
            </w:r>
          </w:p>
        </w:tc>
        <w:tc>
          <w:tcPr>
            <w:tcW w:w="1800" w:type="dxa"/>
          </w:tcPr>
          <w:p w:rsidR="00631B07" w:rsidRPr="008C2F68" w:rsidRDefault="00F120D5" w:rsidP="00700ABC">
            <w:pPr>
              <w:tabs>
                <w:tab w:val="clear" w:pos="720"/>
                <w:tab w:val="clear" w:pos="1440"/>
                <w:tab w:val="decimal" w:pos="1584"/>
              </w:tabs>
              <w:ind w:firstLine="764"/>
              <w:jc w:val="right"/>
              <w:rPr>
                <w:szCs w:val="22"/>
                <w:lang w:eastAsia="zh-CN"/>
              </w:rPr>
            </w:pPr>
            <w:r w:rsidRPr="008C2F68">
              <w:rPr>
                <w:szCs w:val="22"/>
                <w:lang w:eastAsia="zh-CN"/>
              </w:rPr>
              <w:t>83,377</w:t>
            </w:r>
          </w:p>
        </w:tc>
        <w:tc>
          <w:tcPr>
            <w:tcW w:w="1710" w:type="dxa"/>
          </w:tcPr>
          <w:p w:rsidR="00631B07" w:rsidRPr="008C2F68" w:rsidRDefault="00F120D5" w:rsidP="00700ABC">
            <w:pPr>
              <w:tabs>
                <w:tab w:val="clear" w:pos="720"/>
                <w:tab w:val="clear" w:pos="1440"/>
              </w:tabs>
              <w:ind w:right="72"/>
              <w:jc w:val="right"/>
              <w:rPr>
                <w:szCs w:val="22"/>
                <w:lang w:eastAsia="zh-CN"/>
              </w:rPr>
            </w:pPr>
            <w:r w:rsidRPr="008C2F68">
              <w:rPr>
                <w:szCs w:val="22"/>
                <w:lang w:eastAsia="zh-CN"/>
              </w:rPr>
              <w:t>14,687</w:t>
            </w:r>
          </w:p>
        </w:tc>
        <w:tc>
          <w:tcPr>
            <w:tcW w:w="1248" w:type="dxa"/>
          </w:tcPr>
          <w:p w:rsidR="00631B07" w:rsidRPr="008C2F68" w:rsidRDefault="00F120D5" w:rsidP="007F7D22">
            <w:pPr>
              <w:tabs>
                <w:tab w:val="clear" w:pos="720"/>
                <w:tab w:val="clear" w:pos="1440"/>
                <w:tab w:val="decimal" w:pos="972"/>
              </w:tabs>
              <w:jc w:val="both"/>
              <w:rPr>
                <w:szCs w:val="22"/>
                <w:lang w:eastAsia="zh-CN"/>
              </w:rPr>
            </w:pPr>
            <w:r w:rsidRPr="008C2F68">
              <w:rPr>
                <w:szCs w:val="22"/>
                <w:lang w:eastAsia="zh-CN"/>
              </w:rPr>
              <w:t>103,896</w:t>
            </w:r>
          </w:p>
        </w:tc>
      </w:tr>
      <w:tr w:rsidR="00631B07" w:rsidRPr="008C2F68" w:rsidTr="00A06C04">
        <w:trPr>
          <w:gridAfter w:val="1"/>
          <w:wAfter w:w="89" w:type="dxa"/>
        </w:trPr>
        <w:tc>
          <w:tcPr>
            <w:tcW w:w="2679" w:type="dxa"/>
            <w:gridSpan w:val="2"/>
          </w:tcPr>
          <w:p w:rsidR="00631B07" w:rsidRPr="008C2F68" w:rsidRDefault="00631B07" w:rsidP="00C40FC7">
            <w:pPr>
              <w:rPr>
                <w:szCs w:val="22"/>
              </w:rPr>
            </w:pPr>
            <w:r w:rsidRPr="008C2F68">
              <w:rPr>
                <w:szCs w:val="22"/>
              </w:rPr>
              <w:t>Inter-segment sales</w:t>
            </w:r>
          </w:p>
        </w:tc>
        <w:tc>
          <w:tcPr>
            <w:tcW w:w="1371" w:type="dxa"/>
            <w:tcBorders>
              <w:bottom w:val="single" w:sz="4" w:space="0" w:color="auto"/>
            </w:tcBorders>
          </w:tcPr>
          <w:p w:rsidR="00631B07" w:rsidRPr="008C2F68" w:rsidRDefault="00F120D5" w:rsidP="007F7D22">
            <w:pPr>
              <w:tabs>
                <w:tab w:val="clear" w:pos="720"/>
                <w:tab w:val="clear" w:pos="1440"/>
                <w:tab w:val="decimal" w:pos="1083"/>
              </w:tabs>
              <w:jc w:val="both"/>
              <w:rPr>
                <w:szCs w:val="22"/>
                <w:lang w:eastAsia="zh-CN"/>
              </w:rPr>
            </w:pPr>
            <w:r w:rsidRPr="008C2F68">
              <w:rPr>
                <w:szCs w:val="22"/>
                <w:lang w:eastAsia="zh-CN"/>
              </w:rPr>
              <w:t>(5,700</w:t>
            </w:r>
            <w:r w:rsidR="006E38BC" w:rsidRPr="008C2F68">
              <w:rPr>
                <w:szCs w:val="22"/>
                <w:lang w:eastAsia="zh-CN"/>
              </w:rPr>
              <w:t>)</w:t>
            </w:r>
          </w:p>
        </w:tc>
        <w:tc>
          <w:tcPr>
            <w:tcW w:w="1800" w:type="dxa"/>
            <w:tcBorders>
              <w:bottom w:val="single" w:sz="4" w:space="0" w:color="auto"/>
            </w:tcBorders>
          </w:tcPr>
          <w:p w:rsidR="00631B07" w:rsidRPr="008C2F68" w:rsidRDefault="00F120D5" w:rsidP="00150EBC">
            <w:pPr>
              <w:tabs>
                <w:tab w:val="clear" w:pos="720"/>
                <w:tab w:val="clear" w:pos="1440"/>
                <w:tab w:val="decimal" w:pos="1584"/>
              </w:tabs>
              <w:ind w:firstLine="764"/>
              <w:jc w:val="right"/>
              <w:rPr>
                <w:szCs w:val="22"/>
                <w:lang w:eastAsia="zh-CN"/>
              </w:rPr>
            </w:pPr>
            <w:r w:rsidRPr="008C2F68">
              <w:rPr>
                <w:szCs w:val="22"/>
                <w:lang w:eastAsia="zh-CN"/>
              </w:rPr>
              <w:t>(7,427</w:t>
            </w:r>
            <w:r w:rsidR="006E38BC" w:rsidRPr="008C2F68">
              <w:rPr>
                <w:szCs w:val="22"/>
                <w:lang w:eastAsia="zh-CN"/>
              </w:rPr>
              <w:t>)</w:t>
            </w:r>
          </w:p>
        </w:tc>
        <w:tc>
          <w:tcPr>
            <w:tcW w:w="1710" w:type="dxa"/>
            <w:tcBorders>
              <w:bottom w:val="single" w:sz="4" w:space="0" w:color="auto"/>
            </w:tcBorders>
          </w:tcPr>
          <w:p w:rsidR="00631B07" w:rsidRPr="008C2F68" w:rsidRDefault="006E38BC" w:rsidP="00130836">
            <w:pPr>
              <w:tabs>
                <w:tab w:val="clear" w:pos="720"/>
                <w:tab w:val="clear" w:pos="1440"/>
              </w:tabs>
              <w:ind w:right="72"/>
              <w:jc w:val="right"/>
              <w:rPr>
                <w:szCs w:val="22"/>
                <w:lang w:eastAsia="zh-CN"/>
              </w:rPr>
            </w:pPr>
            <w:r w:rsidRPr="008C2F68">
              <w:rPr>
                <w:szCs w:val="22"/>
                <w:lang w:eastAsia="zh-CN"/>
              </w:rPr>
              <w:t>-</w:t>
            </w:r>
          </w:p>
        </w:tc>
        <w:tc>
          <w:tcPr>
            <w:tcW w:w="1248" w:type="dxa"/>
            <w:tcBorders>
              <w:bottom w:val="single" w:sz="4" w:space="0" w:color="auto"/>
            </w:tcBorders>
          </w:tcPr>
          <w:p w:rsidR="00631B07" w:rsidRPr="008C2F68" w:rsidRDefault="00F120D5" w:rsidP="007F7D22">
            <w:pPr>
              <w:tabs>
                <w:tab w:val="clear" w:pos="720"/>
                <w:tab w:val="clear" w:pos="1440"/>
                <w:tab w:val="decimal" w:pos="972"/>
              </w:tabs>
              <w:jc w:val="both"/>
              <w:rPr>
                <w:szCs w:val="22"/>
                <w:lang w:eastAsia="zh-CN"/>
              </w:rPr>
            </w:pPr>
            <w:r w:rsidRPr="008C2F68">
              <w:rPr>
                <w:szCs w:val="22"/>
                <w:lang w:eastAsia="zh-CN"/>
              </w:rPr>
              <w:t>(13,127</w:t>
            </w:r>
            <w:r w:rsidR="006E38BC" w:rsidRPr="008C2F68">
              <w:rPr>
                <w:szCs w:val="22"/>
                <w:lang w:eastAsia="zh-CN"/>
              </w:rPr>
              <w:t>)</w:t>
            </w:r>
          </w:p>
        </w:tc>
      </w:tr>
      <w:tr w:rsidR="00631B07" w:rsidRPr="008C2F68" w:rsidTr="00A06C04">
        <w:trPr>
          <w:gridAfter w:val="1"/>
          <w:wAfter w:w="89" w:type="dxa"/>
        </w:trPr>
        <w:tc>
          <w:tcPr>
            <w:tcW w:w="2679" w:type="dxa"/>
            <w:gridSpan w:val="2"/>
          </w:tcPr>
          <w:p w:rsidR="00631B07" w:rsidRPr="008C2F68" w:rsidRDefault="00631B07" w:rsidP="00C40FC7">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631B07" w:rsidRPr="008C2F68" w:rsidRDefault="00F120D5" w:rsidP="007F7D22">
            <w:pPr>
              <w:tabs>
                <w:tab w:val="clear" w:pos="720"/>
                <w:tab w:val="clear" w:pos="1440"/>
                <w:tab w:val="decimal" w:pos="1083"/>
              </w:tabs>
              <w:jc w:val="both"/>
              <w:rPr>
                <w:szCs w:val="22"/>
                <w:lang w:eastAsia="zh-CN"/>
              </w:rPr>
            </w:pPr>
            <w:r w:rsidRPr="008C2F68">
              <w:rPr>
                <w:szCs w:val="22"/>
                <w:lang w:eastAsia="zh-CN"/>
              </w:rPr>
              <w:t>132</w:t>
            </w:r>
          </w:p>
        </w:tc>
        <w:tc>
          <w:tcPr>
            <w:tcW w:w="1800" w:type="dxa"/>
            <w:tcBorders>
              <w:top w:val="single" w:sz="4" w:space="0" w:color="auto"/>
            </w:tcBorders>
          </w:tcPr>
          <w:p w:rsidR="00631B07" w:rsidRPr="008C2F68" w:rsidRDefault="00F120D5" w:rsidP="00700ABC">
            <w:pPr>
              <w:tabs>
                <w:tab w:val="clear" w:pos="720"/>
                <w:tab w:val="clear" w:pos="1440"/>
                <w:tab w:val="decimal" w:pos="1584"/>
              </w:tabs>
              <w:ind w:firstLine="764"/>
              <w:jc w:val="right"/>
              <w:rPr>
                <w:szCs w:val="22"/>
                <w:lang w:eastAsia="zh-CN"/>
              </w:rPr>
            </w:pPr>
            <w:r w:rsidRPr="008C2F68">
              <w:rPr>
                <w:szCs w:val="22"/>
                <w:lang w:eastAsia="zh-CN"/>
              </w:rPr>
              <w:t>75,950</w:t>
            </w:r>
          </w:p>
        </w:tc>
        <w:tc>
          <w:tcPr>
            <w:tcW w:w="1710" w:type="dxa"/>
            <w:tcBorders>
              <w:top w:val="single" w:sz="4" w:space="0" w:color="auto"/>
            </w:tcBorders>
          </w:tcPr>
          <w:p w:rsidR="00631B07" w:rsidRPr="008C2F68" w:rsidRDefault="00F120D5" w:rsidP="00130836">
            <w:pPr>
              <w:tabs>
                <w:tab w:val="clear" w:pos="720"/>
                <w:tab w:val="clear" w:pos="1440"/>
              </w:tabs>
              <w:ind w:right="72"/>
              <w:jc w:val="right"/>
              <w:rPr>
                <w:szCs w:val="22"/>
                <w:lang w:eastAsia="zh-CN"/>
              </w:rPr>
            </w:pPr>
            <w:r w:rsidRPr="008C2F68">
              <w:rPr>
                <w:szCs w:val="22"/>
                <w:lang w:eastAsia="zh-CN"/>
              </w:rPr>
              <w:t>14,687</w:t>
            </w:r>
          </w:p>
        </w:tc>
        <w:tc>
          <w:tcPr>
            <w:tcW w:w="1248" w:type="dxa"/>
            <w:tcBorders>
              <w:top w:val="single" w:sz="4" w:space="0" w:color="auto"/>
            </w:tcBorders>
          </w:tcPr>
          <w:p w:rsidR="00631B07" w:rsidRPr="008C2F68" w:rsidRDefault="00F120D5" w:rsidP="007F7D22">
            <w:pPr>
              <w:tabs>
                <w:tab w:val="clear" w:pos="720"/>
                <w:tab w:val="clear" w:pos="1440"/>
                <w:tab w:val="decimal" w:pos="972"/>
              </w:tabs>
              <w:jc w:val="both"/>
              <w:rPr>
                <w:szCs w:val="22"/>
                <w:lang w:eastAsia="zh-CN"/>
              </w:rPr>
            </w:pPr>
            <w:r w:rsidRPr="008C2F68">
              <w:rPr>
                <w:szCs w:val="22"/>
                <w:lang w:eastAsia="zh-CN"/>
              </w:rPr>
              <w:t>90,769</w:t>
            </w:r>
          </w:p>
        </w:tc>
      </w:tr>
      <w:tr w:rsidR="00631B07" w:rsidRPr="008C2F68" w:rsidTr="00A06C04">
        <w:trPr>
          <w:gridAfter w:val="1"/>
          <w:wAfter w:w="89" w:type="dxa"/>
        </w:trPr>
        <w:tc>
          <w:tcPr>
            <w:tcW w:w="2679" w:type="dxa"/>
            <w:gridSpan w:val="2"/>
          </w:tcPr>
          <w:p w:rsidR="00631B07" w:rsidRPr="008C2F68" w:rsidRDefault="00631B07" w:rsidP="003A51C3">
            <w:pPr>
              <w:jc w:val="both"/>
              <w:rPr>
                <w:b/>
                <w:sz w:val="18"/>
                <w:szCs w:val="18"/>
              </w:rPr>
            </w:pPr>
          </w:p>
        </w:tc>
        <w:tc>
          <w:tcPr>
            <w:tcW w:w="1371" w:type="dxa"/>
            <w:tcBorders>
              <w:top w:val="double" w:sz="4" w:space="0" w:color="auto"/>
            </w:tcBorders>
          </w:tcPr>
          <w:p w:rsidR="00631B07" w:rsidRPr="008C2F68" w:rsidRDefault="00631B07" w:rsidP="007F7D22">
            <w:pPr>
              <w:tabs>
                <w:tab w:val="decimal" w:pos="1083"/>
              </w:tabs>
              <w:jc w:val="both"/>
              <w:rPr>
                <w:sz w:val="18"/>
                <w:szCs w:val="18"/>
              </w:rPr>
            </w:pPr>
          </w:p>
        </w:tc>
        <w:tc>
          <w:tcPr>
            <w:tcW w:w="1800" w:type="dxa"/>
            <w:tcBorders>
              <w:top w:val="double" w:sz="4" w:space="0" w:color="auto"/>
            </w:tcBorders>
          </w:tcPr>
          <w:p w:rsidR="00631B07" w:rsidRPr="008C2F68"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8C2F68" w:rsidRDefault="00631B07" w:rsidP="00130836">
            <w:pPr>
              <w:tabs>
                <w:tab w:val="clear" w:pos="720"/>
                <w:tab w:val="clear" w:pos="1440"/>
              </w:tabs>
              <w:ind w:right="72"/>
              <w:jc w:val="right"/>
              <w:rPr>
                <w:sz w:val="18"/>
                <w:szCs w:val="18"/>
              </w:rPr>
            </w:pPr>
          </w:p>
        </w:tc>
        <w:tc>
          <w:tcPr>
            <w:tcW w:w="1248" w:type="dxa"/>
            <w:tcBorders>
              <w:top w:val="double" w:sz="4" w:space="0" w:color="auto"/>
            </w:tcBorders>
          </w:tcPr>
          <w:p w:rsidR="00631B07" w:rsidRPr="008C2F68" w:rsidRDefault="00631B07" w:rsidP="007F7D22">
            <w:pPr>
              <w:tabs>
                <w:tab w:val="clear" w:pos="720"/>
                <w:tab w:val="clear" w:pos="1440"/>
                <w:tab w:val="decimal" w:pos="972"/>
              </w:tabs>
              <w:jc w:val="both"/>
              <w:rPr>
                <w:sz w:val="18"/>
                <w:szCs w:val="18"/>
              </w:rPr>
            </w:pPr>
          </w:p>
        </w:tc>
      </w:tr>
      <w:tr w:rsidR="00631B07" w:rsidRPr="008C2F68" w:rsidTr="00A06C04">
        <w:trPr>
          <w:gridAfter w:val="1"/>
          <w:wAfter w:w="89" w:type="dxa"/>
        </w:trPr>
        <w:tc>
          <w:tcPr>
            <w:tcW w:w="2679" w:type="dxa"/>
            <w:gridSpan w:val="2"/>
          </w:tcPr>
          <w:p w:rsidR="00631B07" w:rsidRPr="008C2F68" w:rsidRDefault="00631B07" w:rsidP="003A51C3">
            <w:pPr>
              <w:jc w:val="both"/>
              <w:rPr>
                <w:b/>
                <w:szCs w:val="22"/>
              </w:rPr>
            </w:pPr>
            <w:r w:rsidRPr="008C2F68">
              <w:rPr>
                <w:b/>
                <w:szCs w:val="22"/>
              </w:rPr>
              <w:t>RESULT</w:t>
            </w:r>
          </w:p>
        </w:tc>
        <w:tc>
          <w:tcPr>
            <w:tcW w:w="1371" w:type="dxa"/>
          </w:tcPr>
          <w:p w:rsidR="00631B07" w:rsidRPr="008C2F68" w:rsidRDefault="00631B07" w:rsidP="007F7D22">
            <w:pPr>
              <w:tabs>
                <w:tab w:val="decimal" w:pos="1083"/>
              </w:tabs>
              <w:jc w:val="both"/>
              <w:rPr>
                <w:szCs w:val="22"/>
              </w:rPr>
            </w:pPr>
          </w:p>
        </w:tc>
        <w:tc>
          <w:tcPr>
            <w:tcW w:w="1800" w:type="dxa"/>
          </w:tcPr>
          <w:p w:rsidR="00631B07" w:rsidRPr="008C2F68" w:rsidRDefault="00631B07" w:rsidP="00700ABC">
            <w:pPr>
              <w:tabs>
                <w:tab w:val="decimal" w:pos="1584"/>
              </w:tabs>
              <w:ind w:firstLine="764"/>
              <w:jc w:val="right"/>
              <w:rPr>
                <w:szCs w:val="22"/>
              </w:rPr>
            </w:pPr>
          </w:p>
        </w:tc>
        <w:tc>
          <w:tcPr>
            <w:tcW w:w="1710" w:type="dxa"/>
          </w:tcPr>
          <w:p w:rsidR="00631B07" w:rsidRPr="008C2F68" w:rsidRDefault="00631B07" w:rsidP="00130836">
            <w:pPr>
              <w:tabs>
                <w:tab w:val="clear" w:pos="720"/>
                <w:tab w:val="clear" w:pos="1440"/>
              </w:tabs>
              <w:ind w:right="72"/>
              <w:jc w:val="right"/>
              <w:rPr>
                <w:szCs w:val="22"/>
              </w:rPr>
            </w:pPr>
          </w:p>
        </w:tc>
        <w:tc>
          <w:tcPr>
            <w:tcW w:w="1248" w:type="dxa"/>
          </w:tcPr>
          <w:p w:rsidR="00631B07" w:rsidRPr="008C2F68" w:rsidRDefault="00631B07" w:rsidP="007F7D22">
            <w:pPr>
              <w:tabs>
                <w:tab w:val="clear" w:pos="720"/>
                <w:tab w:val="clear" w:pos="1440"/>
                <w:tab w:val="decimal" w:pos="972"/>
              </w:tabs>
              <w:jc w:val="both"/>
              <w:rPr>
                <w:szCs w:val="22"/>
              </w:rPr>
            </w:pPr>
          </w:p>
        </w:tc>
      </w:tr>
      <w:tr w:rsidR="00631B07" w:rsidRPr="008C2F68" w:rsidTr="00A06C04">
        <w:trPr>
          <w:gridAfter w:val="1"/>
          <w:wAfter w:w="89" w:type="dxa"/>
        </w:trPr>
        <w:tc>
          <w:tcPr>
            <w:tcW w:w="2679" w:type="dxa"/>
            <w:gridSpan w:val="2"/>
          </w:tcPr>
          <w:p w:rsidR="00631B07" w:rsidRPr="008C2F68" w:rsidRDefault="00631B07" w:rsidP="003A51C3">
            <w:pPr>
              <w:jc w:val="both"/>
              <w:rPr>
                <w:szCs w:val="22"/>
              </w:rPr>
            </w:pPr>
            <w:r w:rsidRPr="008C2F68">
              <w:rPr>
                <w:szCs w:val="22"/>
              </w:rPr>
              <w:t>Segment result</w:t>
            </w:r>
          </w:p>
        </w:tc>
        <w:tc>
          <w:tcPr>
            <w:tcW w:w="1371" w:type="dxa"/>
          </w:tcPr>
          <w:p w:rsidR="00631B07" w:rsidRPr="008C2F68" w:rsidRDefault="00F120D5" w:rsidP="007F7D22">
            <w:pPr>
              <w:tabs>
                <w:tab w:val="clear" w:pos="720"/>
                <w:tab w:val="clear" w:pos="1440"/>
                <w:tab w:val="decimal" w:pos="1083"/>
              </w:tabs>
              <w:jc w:val="both"/>
              <w:rPr>
                <w:szCs w:val="22"/>
                <w:lang w:eastAsia="zh-CN"/>
              </w:rPr>
            </w:pPr>
            <w:r w:rsidRPr="008C2F68">
              <w:rPr>
                <w:szCs w:val="22"/>
                <w:lang w:eastAsia="zh-CN"/>
              </w:rPr>
              <w:t>(1,094</w:t>
            </w:r>
            <w:r w:rsidR="00BB27B2" w:rsidRPr="008C2F68">
              <w:rPr>
                <w:szCs w:val="22"/>
                <w:lang w:eastAsia="zh-CN"/>
              </w:rPr>
              <w:t>)</w:t>
            </w:r>
          </w:p>
        </w:tc>
        <w:tc>
          <w:tcPr>
            <w:tcW w:w="1800" w:type="dxa"/>
          </w:tcPr>
          <w:p w:rsidR="00631B07" w:rsidRPr="008C2F68" w:rsidRDefault="00F120D5" w:rsidP="007F7D22">
            <w:pPr>
              <w:tabs>
                <w:tab w:val="clear" w:pos="720"/>
                <w:tab w:val="clear" w:pos="1440"/>
                <w:tab w:val="decimal" w:pos="1584"/>
              </w:tabs>
              <w:ind w:firstLine="764"/>
              <w:jc w:val="right"/>
              <w:rPr>
                <w:szCs w:val="22"/>
                <w:lang w:eastAsia="zh-CN"/>
              </w:rPr>
            </w:pPr>
            <w:r w:rsidRPr="008C2F68">
              <w:rPr>
                <w:szCs w:val="22"/>
                <w:lang w:eastAsia="zh-CN"/>
              </w:rPr>
              <w:t>7,201</w:t>
            </w:r>
          </w:p>
        </w:tc>
        <w:tc>
          <w:tcPr>
            <w:tcW w:w="1710" w:type="dxa"/>
          </w:tcPr>
          <w:p w:rsidR="00631B07" w:rsidRPr="008C2F68" w:rsidRDefault="00F120D5" w:rsidP="001053D8">
            <w:pPr>
              <w:tabs>
                <w:tab w:val="clear" w:pos="720"/>
                <w:tab w:val="clear" w:pos="1440"/>
              </w:tabs>
              <w:ind w:right="72"/>
              <w:jc w:val="right"/>
              <w:rPr>
                <w:szCs w:val="22"/>
                <w:lang w:eastAsia="zh-CN"/>
              </w:rPr>
            </w:pPr>
            <w:r w:rsidRPr="008C2F68">
              <w:rPr>
                <w:szCs w:val="22"/>
                <w:lang w:eastAsia="zh-CN"/>
              </w:rPr>
              <w:t>987</w:t>
            </w:r>
          </w:p>
        </w:tc>
        <w:tc>
          <w:tcPr>
            <w:tcW w:w="1248" w:type="dxa"/>
          </w:tcPr>
          <w:p w:rsidR="00631B07" w:rsidRPr="008C2F68" w:rsidRDefault="00F120D5" w:rsidP="007F7D22">
            <w:pPr>
              <w:tabs>
                <w:tab w:val="clear" w:pos="720"/>
                <w:tab w:val="clear" w:pos="1440"/>
                <w:tab w:val="decimal" w:pos="972"/>
              </w:tabs>
              <w:jc w:val="both"/>
              <w:rPr>
                <w:szCs w:val="22"/>
                <w:lang w:eastAsia="zh-CN"/>
              </w:rPr>
            </w:pPr>
            <w:r w:rsidRPr="008C2F68">
              <w:rPr>
                <w:szCs w:val="22"/>
                <w:lang w:eastAsia="zh-CN"/>
              </w:rPr>
              <w:t>7,094</w:t>
            </w:r>
          </w:p>
        </w:tc>
      </w:tr>
      <w:tr w:rsidR="00631B07" w:rsidRPr="008C2F68" w:rsidTr="00A06C04">
        <w:trPr>
          <w:gridAfter w:val="1"/>
          <w:wAfter w:w="89" w:type="dxa"/>
        </w:trPr>
        <w:tc>
          <w:tcPr>
            <w:tcW w:w="2679" w:type="dxa"/>
            <w:gridSpan w:val="2"/>
          </w:tcPr>
          <w:p w:rsidR="00631B07" w:rsidRPr="008C2F68" w:rsidRDefault="00631B07" w:rsidP="003A51C3">
            <w:pPr>
              <w:jc w:val="both"/>
              <w:rPr>
                <w:szCs w:val="22"/>
              </w:rPr>
            </w:pPr>
            <w:r w:rsidRPr="008C2F68">
              <w:rPr>
                <w:szCs w:val="22"/>
              </w:rPr>
              <w:t xml:space="preserve">Finance costs </w:t>
            </w:r>
          </w:p>
        </w:tc>
        <w:tc>
          <w:tcPr>
            <w:tcW w:w="1371" w:type="dxa"/>
          </w:tcPr>
          <w:p w:rsidR="00631B07" w:rsidRPr="008C2F68" w:rsidRDefault="00BB27B2" w:rsidP="007F7D22">
            <w:pPr>
              <w:tabs>
                <w:tab w:val="clear" w:pos="720"/>
                <w:tab w:val="clear" w:pos="1440"/>
                <w:tab w:val="decimal" w:pos="1083"/>
              </w:tabs>
              <w:jc w:val="both"/>
              <w:rPr>
                <w:szCs w:val="22"/>
              </w:rPr>
            </w:pPr>
            <w:r w:rsidRPr="008C2F68">
              <w:rPr>
                <w:szCs w:val="22"/>
              </w:rPr>
              <w:t>-</w:t>
            </w:r>
          </w:p>
        </w:tc>
        <w:tc>
          <w:tcPr>
            <w:tcW w:w="1800" w:type="dxa"/>
          </w:tcPr>
          <w:p w:rsidR="00631B07" w:rsidRPr="008C2F68" w:rsidRDefault="00F120D5" w:rsidP="007F7D22">
            <w:pPr>
              <w:tabs>
                <w:tab w:val="clear" w:pos="720"/>
                <w:tab w:val="clear" w:pos="1440"/>
                <w:tab w:val="decimal" w:pos="1584"/>
              </w:tabs>
              <w:ind w:firstLine="764"/>
              <w:jc w:val="right"/>
              <w:rPr>
                <w:szCs w:val="22"/>
              </w:rPr>
            </w:pPr>
            <w:r w:rsidRPr="008C2F68">
              <w:rPr>
                <w:szCs w:val="22"/>
              </w:rPr>
              <w:t>(117</w:t>
            </w:r>
            <w:r w:rsidR="00BB27B2" w:rsidRPr="008C2F68">
              <w:rPr>
                <w:szCs w:val="22"/>
              </w:rPr>
              <w:t>)</w:t>
            </w:r>
          </w:p>
        </w:tc>
        <w:tc>
          <w:tcPr>
            <w:tcW w:w="1710" w:type="dxa"/>
          </w:tcPr>
          <w:p w:rsidR="00631B07" w:rsidRPr="008C2F68" w:rsidRDefault="00F120D5" w:rsidP="008722A9">
            <w:pPr>
              <w:jc w:val="right"/>
              <w:rPr>
                <w:szCs w:val="22"/>
              </w:rPr>
            </w:pPr>
            <w:r w:rsidRPr="008C2F68">
              <w:rPr>
                <w:szCs w:val="22"/>
              </w:rPr>
              <w:t>(25</w:t>
            </w:r>
            <w:r w:rsidR="00BB27B2" w:rsidRPr="008C2F68">
              <w:rPr>
                <w:szCs w:val="22"/>
              </w:rPr>
              <w:t>)</w:t>
            </w:r>
          </w:p>
        </w:tc>
        <w:tc>
          <w:tcPr>
            <w:tcW w:w="1248" w:type="dxa"/>
            <w:shd w:val="clear" w:color="auto" w:fill="auto"/>
          </w:tcPr>
          <w:p w:rsidR="00631B07" w:rsidRPr="008C2F68" w:rsidRDefault="00F120D5" w:rsidP="007F7D22">
            <w:pPr>
              <w:tabs>
                <w:tab w:val="clear" w:pos="720"/>
                <w:tab w:val="clear" w:pos="1440"/>
                <w:tab w:val="decimal" w:pos="972"/>
              </w:tabs>
              <w:jc w:val="both"/>
              <w:rPr>
                <w:szCs w:val="22"/>
              </w:rPr>
            </w:pPr>
            <w:r w:rsidRPr="008C2F68">
              <w:rPr>
                <w:szCs w:val="22"/>
              </w:rPr>
              <w:t>(142</w:t>
            </w:r>
            <w:r w:rsidR="00BB27B2" w:rsidRPr="008C2F68">
              <w:rPr>
                <w:szCs w:val="22"/>
              </w:rPr>
              <w:t>)</w:t>
            </w:r>
          </w:p>
        </w:tc>
      </w:tr>
      <w:tr w:rsidR="00631B07" w:rsidRPr="008C2F68" w:rsidTr="00A06C04">
        <w:trPr>
          <w:gridAfter w:val="1"/>
          <w:wAfter w:w="89" w:type="dxa"/>
        </w:trPr>
        <w:tc>
          <w:tcPr>
            <w:tcW w:w="2679" w:type="dxa"/>
            <w:gridSpan w:val="2"/>
          </w:tcPr>
          <w:p w:rsidR="00631B07" w:rsidRPr="008C2F68" w:rsidRDefault="00631B07" w:rsidP="003A51C3">
            <w:pPr>
              <w:jc w:val="both"/>
              <w:rPr>
                <w:szCs w:val="22"/>
              </w:rPr>
            </w:pPr>
            <w:r w:rsidRPr="008C2F68">
              <w:rPr>
                <w:szCs w:val="22"/>
              </w:rPr>
              <w:t>Share of profit in a jointly controlled entity</w:t>
            </w:r>
          </w:p>
        </w:tc>
        <w:tc>
          <w:tcPr>
            <w:tcW w:w="1371" w:type="dxa"/>
          </w:tcPr>
          <w:p w:rsidR="00F120D5" w:rsidRPr="008C2F68" w:rsidRDefault="00F120D5" w:rsidP="007F7D22">
            <w:pPr>
              <w:tabs>
                <w:tab w:val="clear" w:pos="720"/>
                <w:tab w:val="clear" w:pos="1440"/>
                <w:tab w:val="decimal" w:pos="1083"/>
              </w:tabs>
              <w:jc w:val="both"/>
              <w:rPr>
                <w:szCs w:val="22"/>
                <w:lang w:eastAsia="zh-CN"/>
              </w:rPr>
            </w:pPr>
          </w:p>
          <w:p w:rsidR="00BB27B2" w:rsidRPr="008C2F68" w:rsidRDefault="00F120D5" w:rsidP="007F7D22">
            <w:pPr>
              <w:tabs>
                <w:tab w:val="clear" w:pos="720"/>
                <w:tab w:val="clear" w:pos="1440"/>
                <w:tab w:val="decimal" w:pos="1083"/>
              </w:tabs>
              <w:jc w:val="both"/>
              <w:rPr>
                <w:szCs w:val="22"/>
                <w:lang w:eastAsia="zh-CN"/>
              </w:rPr>
            </w:pPr>
            <w:r w:rsidRPr="008C2F68">
              <w:rPr>
                <w:szCs w:val="22"/>
                <w:lang w:eastAsia="zh-CN"/>
              </w:rPr>
              <w:t>113</w:t>
            </w:r>
          </w:p>
        </w:tc>
        <w:tc>
          <w:tcPr>
            <w:tcW w:w="1800" w:type="dxa"/>
          </w:tcPr>
          <w:p w:rsidR="00631B07" w:rsidRPr="008C2F68" w:rsidRDefault="00631B07" w:rsidP="007F7D22">
            <w:pPr>
              <w:tabs>
                <w:tab w:val="clear" w:pos="720"/>
                <w:tab w:val="clear" w:pos="1440"/>
                <w:tab w:val="decimal" w:pos="1584"/>
              </w:tabs>
              <w:ind w:firstLine="764"/>
              <w:jc w:val="right"/>
              <w:rPr>
                <w:szCs w:val="22"/>
              </w:rPr>
            </w:pPr>
          </w:p>
          <w:p w:rsidR="00BB27B2" w:rsidRPr="008C2F68" w:rsidRDefault="00BB27B2" w:rsidP="007F7D22">
            <w:pPr>
              <w:tabs>
                <w:tab w:val="clear" w:pos="720"/>
                <w:tab w:val="clear" w:pos="1440"/>
                <w:tab w:val="decimal" w:pos="1584"/>
              </w:tabs>
              <w:ind w:firstLine="764"/>
              <w:jc w:val="right"/>
              <w:rPr>
                <w:szCs w:val="22"/>
              </w:rPr>
            </w:pPr>
            <w:r w:rsidRPr="008C2F68">
              <w:rPr>
                <w:szCs w:val="22"/>
              </w:rPr>
              <w:t>-</w:t>
            </w:r>
          </w:p>
        </w:tc>
        <w:tc>
          <w:tcPr>
            <w:tcW w:w="1710" w:type="dxa"/>
          </w:tcPr>
          <w:p w:rsidR="00631B07" w:rsidRPr="008C2F68" w:rsidRDefault="00631B07" w:rsidP="00130836">
            <w:pPr>
              <w:jc w:val="right"/>
              <w:rPr>
                <w:szCs w:val="22"/>
              </w:rPr>
            </w:pPr>
          </w:p>
          <w:p w:rsidR="00BB27B2" w:rsidRPr="008C2F68" w:rsidRDefault="00BB27B2" w:rsidP="00130836">
            <w:pPr>
              <w:jc w:val="right"/>
              <w:rPr>
                <w:szCs w:val="22"/>
              </w:rPr>
            </w:pPr>
            <w:r w:rsidRPr="008C2F68">
              <w:rPr>
                <w:szCs w:val="22"/>
              </w:rPr>
              <w:t>-</w:t>
            </w:r>
          </w:p>
        </w:tc>
        <w:tc>
          <w:tcPr>
            <w:tcW w:w="1248" w:type="dxa"/>
            <w:shd w:val="clear" w:color="auto" w:fill="auto"/>
          </w:tcPr>
          <w:p w:rsidR="00631B07" w:rsidRPr="008C2F68" w:rsidRDefault="00631B07" w:rsidP="007F7D22">
            <w:pPr>
              <w:tabs>
                <w:tab w:val="clear" w:pos="720"/>
                <w:tab w:val="clear" w:pos="1440"/>
                <w:tab w:val="decimal" w:pos="972"/>
              </w:tabs>
              <w:jc w:val="both"/>
              <w:rPr>
                <w:szCs w:val="22"/>
                <w:lang w:eastAsia="zh-CN"/>
              </w:rPr>
            </w:pPr>
          </w:p>
          <w:p w:rsidR="00BB27B2" w:rsidRPr="008C2F68" w:rsidRDefault="00F120D5" w:rsidP="007F7D22">
            <w:pPr>
              <w:tabs>
                <w:tab w:val="clear" w:pos="720"/>
                <w:tab w:val="clear" w:pos="1440"/>
                <w:tab w:val="decimal" w:pos="972"/>
              </w:tabs>
              <w:jc w:val="both"/>
              <w:rPr>
                <w:szCs w:val="22"/>
                <w:lang w:eastAsia="zh-CN"/>
              </w:rPr>
            </w:pPr>
            <w:r w:rsidRPr="008C2F68">
              <w:rPr>
                <w:szCs w:val="22"/>
                <w:lang w:eastAsia="zh-CN"/>
              </w:rPr>
              <w:t>113</w:t>
            </w:r>
          </w:p>
        </w:tc>
      </w:tr>
      <w:tr w:rsidR="00631B07" w:rsidRPr="008C2F68" w:rsidTr="00A06C04">
        <w:trPr>
          <w:gridAfter w:val="1"/>
          <w:wAfter w:w="89" w:type="dxa"/>
        </w:trPr>
        <w:tc>
          <w:tcPr>
            <w:tcW w:w="2679" w:type="dxa"/>
            <w:gridSpan w:val="2"/>
          </w:tcPr>
          <w:p w:rsidR="00631B07" w:rsidRPr="008C2F68" w:rsidRDefault="00631B07" w:rsidP="003A51C3">
            <w:pPr>
              <w:jc w:val="both"/>
              <w:rPr>
                <w:szCs w:val="22"/>
              </w:rPr>
            </w:pPr>
            <w:r w:rsidRPr="008C2F68">
              <w:rPr>
                <w:szCs w:val="22"/>
              </w:rPr>
              <w:t xml:space="preserve">(Loss)/Profit before tax </w:t>
            </w:r>
          </w:p>
        </w:tc>
        <w:tc>
          <w:tcPr>
            <w:tcW w:w="1371" w:type="dxa"/>
            <w:tcBorders>
              <w:top w:val="single" w:sz="4" w:space="0" w:color="auto"/>
            </w:tcBorders>
          </w:tcPr>
          <w:p w:rsidR="00631B07" w:rsidRPr="008C2F68" w:rsidRDefault="00F120D5" w:rsidP="007F7D22">
            <w:pPr>
              <w:tabs>
                <w:tab w:val="clear" w:pos="720"/>
                <w:tab w:val="clear" w:pos="1440"/>
                <w:tab w:val="decimal" w:pos="1083"/>
              </w:tabs>
              <w:jc w:val="both"/>
              <w:rPr>
                <w:szCs w:val="22"/>
                <w:lang w:eastAsia="zh-CN"/>
              </w:rPr>
            </w:pPr>
            <w:r w:rsidRPr="008C2F68">
              <w:rPr>
                <w:szCs w:val="22"/>
                <w:lang w:eastAsia="zh-CN"/>
              </w:rPr>
              <w:t>(981</w:t>
            </w:r>
            <w:r w:rsidR="00BB27B2" w:rsidRPr="008C2F68">
              <w:rPr>
                <w:szCs w:val="22"/>
                <w:lang w:eastAsia="zh-CN"/>
              </w:rPr>
              <w:t>)</w:t>
            </w:r>
          </w:p>
        </w:tc>
        <w:tc>
          <w:tcPr>
            <w:tcW w:w="1800" w:type="dxa"/>
            <w:tcBorders>
              <w:top w:val="single" w:sz="4" w:space="0" w:color="auto"/>
            </w:tcBorders>
          </w:tcPr>
          <w:p w:rsidR="00631B07" w:rsidRPr="008C2F68" w:rsidRDefault="00F120D5" w:rsidP="007F7D22">
            <w:pPr>
              <w:tabs>
                <w:tab w:val="clear" w:pos="720"/>
                <w:tab w:val="clear" w:pos="1440"/>
                <w:tab w:val="decimal" w:pos="1584"/>
              </w:tabs>
              <w:ind w:firstLine="764"/>
              <w:jc w:val="right"/>
              <w:rPr>
                <w:szCs w:val="22"/>
                <w:lang w:eastAsia="zh-CN"/>
              </w:rPr>
            </w:pPr>
            <w:r w:rsidRPr="008C2F68">
              <w:rPr>
                <w:szCs w:val="22"/>
                <w:lang w:eastAsia="zh-CN"/>
              </w:rPr>
              <w:t>7,084</w:t>
            </w:r>
          </w:p>
        </w:tc>
        <w:tc>
          <w:tcPr>
            <w:tcW w:w="1710" w:type="dxa"/>
            <w:tcBorders>
              <w:top w:val="single" w:sz="4" w:space="0" w:color="auto"/>
            </w:tcBorders>
          </w:tcPr>
          <w:p w:rsidR="00631B07" w:rsidRPr="008C2F68" w:rsidRDefault="00F120D5" w:rsidP="00130836">
            <w:pPr>
              <w:tabs>
                <w:tab w:val="clear" w:pos="720"/>
                <w:tab w:val="clear" w:pos="1440"/>
              </w:tabs>
              <w:ind w:right="72"/>
              <w:jc w:val="right"/>
              <w:rPr>
                <w:szCs w:val="22"/>
                <w:lang w:eastAsia="zh-CN"/>
              </w:rPr>
            </w:pPr>
            <w:r w:rsidRPr="008C2F68">
              <w:rPr>
                <w:szCs w:val="22"/>
                <w:lang w:eastAsia="zh-CN"/>
              </w:rPr>
              <w:t>962</w:t>
            </w:r>
          </w:p>
        </w:tc>
        <w:tc>
          <w:tcPr>
            <w:tcW w:w="1248" w:type="dxa"/>
            <w:tcBorders>
              <w:top w:val="single" w:sz="4" w:space="0" w:color="auto"/>
            </w:tcBorders>
            <w:shd w:val="clear" w:color="auto" w:fill="auto"/>
          </w:tcPr>
          <w:p w:rsidR="00631B07" w:rsidRPr="008C2F68" w:rsidRDefault="00F120D5" w:rsidP="007F7D22">
            <w:pPr>
              <w:tabs>
                <w:tab w:val="clear" w:pos="720"/>
                <w:tab w:val="clear" w:pos="1440"/>
                <w:tab w:val="decimal" w:pos="972"/>
              </w:tabs>
              <w:jc w:val="both"/>
              <w:rPr>
                <w:szCs w:val="22"/>
                <w:lang w:eastAsia="zh-CN"/>
              </w:rPr>
            </w:pPr>
            <w:r w:rsidRPr="008C2F68">
              <w:rPr>
                <w:szCs w:val="22"/>
                <w:lang w:eastAsia="zh-CN"/>
              </w:rPr>
              <w:t>7,065</w:t>
            </w:r>
          </w:p>
        </w:tc>
      </w:tr>
      <w:tr w:rsidR="00631B07" w:rsidRPr="008C2F68" w:rsidTr="00A06C04">
        <w:trPr>
          <w:gridAfter w:val="1"/>
          <w:wAfter w:w="89" w:type="dxa"/>
        </w:trPr>
        <w:tc>
          <w:tcPr>
            <w:tcW w:w="2679" w:type="dxa"/>
            <w:gridSpan w:val="2"/>
          </w:tcPr>
          <w:p w:rsidR="00631B07" w:rsidRPr="008C2F68" w:rsidRDefault="00631B07" w:rsidP="00695C78">
            <w:pPr>
              <w:jc w:val="both"/>
              <w:rPr>
                <w:szCs w:val="22"/>
              </w:rPr>
            </w:pPr>
            <w:r w:rsidRPr="008C2F68">
              <w:rPr>
                <w:szCs w:val="22"/>
              </w:rPr>
              <w:t>Tax expense</w:t>
            </w:r>
          </w:p>
        </w:tc>
        <w:tc>
          <w:tcPr>
            <w:tcW w:w="1371" w:type="dxa"/>
            <w:tcBorders>
              <w:bottom w:val="single" w:sz="4" w:space="0" w:color="auto"/>
            </w:tcBorders>
          </w:tcPr>
          <w:p w:rsidR="00631B07" w:rsidRPr="008C2F68" w:rsidRDefault="00BB27B2" w:rsidP="00F120D5">
            <w:pPr>
              <w:tabs>
                <w:tab w:val="clear" w:pos="720"/>
                <w:tab w:val="clear" w:pos="1440"/>
                <w:tab w:val="decimal" w:pos="1083"/>
              </w:tabs>
              <w:jc w:val="both"/>
              <w:rPr>
                <w:szCs w:val="22"/>
              </w:rPr>
            </w:pPr>
            <w:r w:rsidRPr="008C2F68">
              <w:rPr>
                <w:szCs w:val="22"/>
              </w:rPr>
              <w:t>(2</w:t>
            </w:r>
            <w:r w:rsidR="00F120D5" w:rsidRPr="008C2F68">
              <w:rPr>
                <w:szCs w:val="22"/>
              </w:rPr>
              <w:t>8</w:t>
            </w:r>
            <w:r w:rsidRPr="008C2F68">
              <w:rPr>
                <w:szCs w:val="22"/>
              </w:rPr>
              <w:t>5)</w:t>
            </w:r>
          </w:p>
        </w:tc>
        <w:tc>
          <w:tcPr>
            <w:tcW w:w="1800" w:type="dxa"/>
            <w:tcBorders>
              <w:bottom w:val="single" w:sz="4" w:space="0" w:color="auto"/>
            </w:tcBorders>
          </w:tcPr>
          <w:p w:rsidR="00631B07" w:rsidRPr="008C2F68" w:rsidRDefault="00BB27B2" w:rsidP="00F120D5">
            <w:pPr>
              <w:tabs>
                <w:tab w:val="clear" w:pos="720"/>
                <w:tab w:val="clear" w:pos="1440"/>
                <w:tab w:val="decimal" w:pos="1584"/>
              </w:tabs>
              <w:ind w:firstLine="764"/>
              <w:jc w:val="right"/>
              <w:rPr>
                <w:szCs w:val="22"/>
              </w:rPr>
            </w:pPr>
            <w:r w:rsidRPr="008C2F68">
              <w:rPr>
                <w:szCs w:val="22"/>
              </w:rPr>
              <w:t>(</w:t>
            </w:r>
            <w:r w:rsidR="00F120D5" w:rsidRPr="008C2F68">
              <w:rPr>
                <w:szCs w:val="22"/>
              </w:rPr>
              <w:t>1,623</w:t>
            </w:r>
            <w:r w:rsidRPr="008C2F68">
              <w:rPr>
                <w:szCs w:val="22"/>
              </w:rPr>
              <w:t>)</w:t>
            </w:r>
          </w:p>
        </w:tc>
        <w:tc>
          <w:tcPr>
            <w:tcW w:w="1710" w:type="dxa"/>
            <w:tcBorders>
              <w:bottom w:val="single" w:sz="4" w:space="0" w:color="auto"/>
            </w:tcBorders>
          </w:tcPr>
          <w:p w:rsidR="00631B07" w:rsidRPr="008C2F68" w:rsidRDefault="00F120D5" w:rsidP="00F120D5">
            <w:pPr>
              <w:jc w:val="right"/>
              <w:rPr>
                <w:szCs w:val="22"/>
              </w:rPr>
            </w:pPr>
            <w:r w:rsidRPr="008C2F68">
              <w:rPr>
                <w:szCs w:val="22"/>
              </w:rPr>
              <w:t>(178</w:t>
            </w:r>
            <w:r w:rsidR="00BB27B2" w:rsidRPr="008C2F68">
              <w:rPr>
                <w:szCs w:val="22"/>
              </w:rPr>
              <w:t>)</w:t>
            </w:r>
          </w:p>
        </w:tc>
        <w:tc>
          <w:tcPr>
            <w:tcW w:w="1248" w:type="dxa"/>
            <w:tcBorders>
              <w:bottom w:val="single" w:sz="4" w:space="0" w:color="auto"/>
            </w:tcBorders>
            <w:shd w:val="clear" w:color="auto" w:fill="auto"/>
          </w:tcPr>
          <w:p w:rsidR="00631B07" w:rsidRPr="008C2F68" w:rsidRDefault="00BB27B2" w:rsidP="00F120D5">
            <w:pPr>
              <w:tabs>
                <w:tab w:val="clear" w:pos="720"/>
                <w:tab w:val="clear" w:pos="1440"/>
                <w:tab w:val="decimal" w:pos="972"/>
              </w:tabs>
              <w:jc w:val="both"/>
              <w:rPr>
                <w:szCs w:val="22"/>
              </w:rPr>
            </w:pPr>
            <w:r w:rsidRPr="008C2F68">
              <w:rPr>
                <w:szCs w:val="22"/>
              </w:rPr>
              <w:t>(2</w:t>
            </w:r>
            <w:r w:rsidR="00F120D5" w:rsidRPr="008C2F68">
              <w:rPr>
                <w:szCs w:val="22"/>
              </w:rPr>
              <w:t>,086</w:t>
            </w:r>
            <w:r w:rsidRPr="008C2F68">
              <w:rPr>
                <w:szCs w:val="22"/>
              </w:rPr>
              <w:t>)</w:t>
            </w:r>
          </w:p>
        </w:tc>
      </w:tr>
      <w:tr w:rsidR="00631B07" w:rsidRPr="008C2F68" w:rsidTr="00A06C04">
        <w:trPr>
          <w:gridAfter w:val="1"/>
          <w:wAfter w:w="89" w:type="dxa"/>
        </w:trPr>
        <w:tc>
          <w:tcPr>
            <w:tcW w:w="2679" w:type="dxa"/>
            <w:gridSpan w:val="2"/>
          </w:tcPr>
          <w:p w:rsidR="00631B07" w:rsidRPr="008C2F68" w:rsidRDefault="00631B07" w:rsidP="003A51C3">
            <w:pPr>
              <w:jc w:val="both"/>
              <w:rPr>
                <w:szCs w:val="22"/>
              </w:rPr>
            </w:pPr>
            <w:r w:rsidRPr="008C2F68">
              <w:rPr>
                <w:szCs w:val="22"/>
              </w:rPr>
              <w:t>(Loss)/Profit after tax</w:t>
            </w:r>
          </w:p>
        </w:tc>
        <w:tc>
          <w:tcPr>
            <w:tcW w:w="1371" w:type="dxa"/>
            <w:tcBorders>
              <w:top w:val="single" w:sz="4" w:space="0" w:color="auto"/>
              <w:bottom w:val="double" w:sz="4" w:space="0" w:color="auto"/>
            </w:tcBorders>
          </w:tcPr>
          <w:p w:rsidR="00631B07" w:rsidRPr="008C2F68" w:rsidRDefault="00BB27B2" w:rsidP="00F120D5">
            <w:pPr>
              <w:tabs>
                <w:tab w:val="clear" w:pos="720"/>
                <w:tab w:val="clear" w:pos="1440"/>
                <w:tab w:val="decimal" w:pos="1083"/>
              </w:tabs>
              <w:jc w:val="both"/>
              <w:rPr>
                <w:szCs w:val="22"/>
                <w:lang w:eastAsia="zh-CN"/>
              </w:rPr>
            </w:pPr>
            <w:r w:rsidRPr="008C2F68">
              <w:rPr>
                <w:szCs w:val="22"/>
                <w:lang w:eastAsia="zh-CN"/>
              </w:rPr>
              <w:t>(</w:t>
            </w:r>
            <w:r w:rsidR="00F120D5" w:rsidRPr="008C2F68">
              <w:rPr>
                <w:szCs w:val="22"/>
                <w:lang w:eastAsia="zh-CN"/>
              </w:rPr>
              <w:t>1,266</w:t>
            </w:r>
            <w:r w:rsidRPr="008C2F68">
              <w:rPr>
                <w:szCs w:val="22"/>
                <w:lang w:eastAsia="zh-CN"/>
              </w:rPr>
              <w:t>)</w:t>
            </w:r>
          </w:p>
        </w:tc>
        <w:tc>
          <w:tcPr>
            <w:tcW w:w="1800" w:type="dxa"/>
            <w:tcBorders>
              <w:top w:val="single" w:sz="4" w:space="0" w:color="auto"/>
              <w:bottom w:val="double" w:sz="4" w:space="0" w:color="auto"/>
            </w:tcBorders>
          </w:tcPr>
          <w:p w:rsidR="00631B07" w:rsidRPr="008C2F68" w:rsidRDefault="00F120D5" w:rsidP="007F7D22">
            <w:pPr>
              <w:tabs>
                <w:tab w:val="clear" w:pos="720"/>
                <w:tab w:val="clear" w:pos="1440"/>
                <w:tab w:val="decimal" w:pos="1584"/>
              </w:tabs>
              <w:ind w:firstLine="763"/>
              <w:jc w:val="right"/>
              <w:rPr>
                <w:szCs w:val="22"/>
                <w:lang w:eastAsia="zh-CN"/>
              </w:rPr>
            </w:pPr>
            <w:r w:rsidRPr="008C2F68">
              <w:rPr>
                <w:szCs w:val="22"/>
                <w:lang w:eastAsia="zh-CN"/>
              </w:rPr>
              <w:t>5,461</w:t>
            </w:r>
          </w:p>
        </w:tc>
        <w:tc>
          <w:tcPr>
            <w:tcW w:w="1710" w:type="dxa"/>
            <w:tcBorders>
              <w:top w:val="single" w:sz="4" w:space="0" w:color="auto"/>
              <w:bottom w:val="double" w:sz="4" w:space="0" w:color="auto"/>
            </w:tcBorders>
          </w:tcPr>
          <w:p w:rsidR="00631B07" w:rsidRPr="008C2F68" w:rsidRDefault="00F120D5" w:rsidP="00130836">
            <w:pPr>
              <w:tabs>
                <w:tab w:val="clear" w:pos="720"/>
                <w:tab w:val="clear" w:pos="1440"/>
              </w:tabs>
              <w:ind w:right="72"/>
              <w:jc w:val="right"/>
              <w:rPr>
                <w:szCs w:val="22"/>
                <w:lang w:eastAsia="zh-CN"/>
              </w:rPr>
            </w:pPr>
            <w:r w:rsidRPr="008C2F68">
              <w:rPr>
                <w:szCs w:val="22"/>
                <w:lang w:eastAsia="zh-CN"/>
              </w:rPr>
              <w:t>784</w:t>
            </w:r>
          </w:p>
        </w:tc>
        <w:tc>
          <w:tcPr>
            <w:tcW w:w="1248" w:type="dxa"/>
            <w:tcBorders>
              <w:top w:val="single" w:sz="4" w:space="0" w:color="auto"/>
              <w:bottom w:val="double" w:sz="4" w:space="0" w:color="auto"/>
            </w:tcBorders>
            <w:shd w:val="clear" w:color="auto" w:fill="auto"/>
          </w:tcPr>
          <w:p w:rsidR="00631B07" w:rsidRPr="008C2F68" w:rsidRDefault="00F120D5" w:rsidP="007F7D22">
            <w:pPr>
              <w:tabs>
                <w:tab w:val="clear" w:pos="720"/>
                <w:tab w:val="clear" w:pos="1440"/>
                <w:tab w:val="decimal" w:pos="972"/>
              </w:tabs>
              <w:jc w:val="both"/>
              <w:rPr>
                <w:szCs w:val="22"/>
                <w:lang w:eastAsia="zh-CN"/>
              </w:rPr>
            </w:pPr>
            <w:r w:rsidRPr="008C2F68">
              <w:rPr>
                <w:szCs w:val="22"/>
                <w:lang w:eastAsia="zh-CN"/>
              </w:rPr>
              <w:t>4,979</w:t>
            </w:r>
          </w:p>
        </w:tc>
      </w:tr>
      <w:tr w:rsidR="00631B07" w:rsidRPr="008C2F68" w:rsidTr="00A06C04">
        <w:trPr>
          <w:gridAfter w:val="1"/>
          <w:wAfter w:w="89" w:type="dxa"/>
        </w:trPr>
        <w:tc>
          <w:tcPr>
            <w:tcW w:w="2679" w:type="dxa"/>
            <w:gridSpan w:val="2"/>
          </w:tcPr>
          <w:p w:rsidR="00631B07" w:rsidRPr="008C2F68" w:rsidRDefault="00631B07" w:rsidP="003A51C3">
            <w:pPr>
              <w:jc w:val="both"/>
              <w:rPr>
                <w:sz w:val="18"/>
                <w:szCs w:val="18"/>
              </w:rPr>
            </w:pPr>
          </w:p>
        </w:tc>
        <w:tc>
          <w:tcPr>
            <w:tcW w:w="1371" w:type="dxa"/>
            <w:tcBorders>
              <w:top w:val="double" w:sz="4" w:space="0" w:color="auto"/>
            </w:tcBorders>
          </w:tcPr>
          <w:p w:rsidR="00631B07" w:rsidRPr="008C2F68" w:rsidRDefault="00631B07" w:rsidP="007F7D22">
            <w:pPr>
              <w:tabs>
                <w:tab w:val="decimal" w:pos="1083"/>
              </w:tabs>
              <w:jc w:val="both"/>
              <w:rPr>
                <w:sz w:val="18"/>
                <w:szCs w:val="18"/>
              </w:rPr>
            </w:pPr>
          </w:p>
        </w:tc>
        <w:tc>
          <w:tcPr>
            <w:tcW w:w="1800" w:type="dxa"/>
            <w:tcBorders>
              <w:top w:val="double" w:sz="4" w:space="0" w:color="auto"/>
            </w:tcBorders>
          </w:tcPr>
          <w:p w:rsidR="00631B07" w:rsidRPr="008C2F68" w:rsidRDefault="00631B07" w:rsidP="00700ABC">
            <w:pPr>
              <w:tabs>
                <w:tab w:val="decimal" w:pos="1584"/>
              </w:tabs>
              <w:ind w:firstLine="764"/>
              <w:jc w:val="right"/>
              <w:rPr>
                <w:sz w:val="18"/>
                <w:szCs w:val="18"/>
              </w:rPr>
            </w:pPr>
          </w:p>
        </w:tc>
        <w:tc>
          <w:tcPr>
            <w:tcW w:w="1710" w:type="dxa"/>
            <w:tcBorders>
              <w:top w:val="double" w:sz="4" w:space="0" w:color="auto"/>
            </w:tcBorders>
          </w:tcPr>
          <w:p w:rsidR="00631B07" w:rsidRPr="008C2F68" w:rsidRDefault="00631B07" w:rsidP="00130836">
            <w:pPr>
              <w:jc w:val="right"/>
              <w:rPr>
                <w:sz w:val="18"/>
                <w:szCs w:val="18"/>
              </w:rPr>
            </w:pPr>
          </w:p>
        </w:tc>
        <w:tc>
          <w:tcPr>
            <w:tcW w:w="1248" w:type="dxa"/>
            <w:tcBorders>
              <w:top w:val="double" w:sz="4" w:space="0" w:color="auto"/>
            </w:tcBorders>
          </w:tcPr>
          <w:p w:rsidR="00631B07" w:rsidRPr="008C2F68" w:rsidRDefault="00631B07" w:rsidP="007F7D22">
            <w:pPr>
              <w:tabs>
                <w:tab w:val="decimal" w:pos="972"/>
              </w:tabs>
              <w:jc w:val="both"/>
              <w:rPr>
                <w:sz w:val="18"/>
                <w:szCs w:val="18"/>
              </w:rPr>
            </w:pPr>
          </w:p>
        </w:tc>
      </w:tr>
      <w:tr w:rsidR="00631B07" w:rsidRPr="008C2F68" w:rsidTr="00A06C04">
        <w:trPr>
          <w:gridBefore w:val="1"/>
          <w:wBefore w:w="6" w:type="dxa"/>
        </w:trPr>
        <w:tc>
          <w:tcPr>
            <w:tcW w:w="2673" w:type="dxa"/>
          </w:tcPr>
          <w:p w:rsidR="00631B07" w:rsidRPr="008C2F68" w:rsidRDefault="00631B07" w:rsidP="003A51C3">
            <w:pPr>
              <w:jc w:val="both"/>
              <w:rPr>
                <w:b/>
                <w:szCs w:val="22"/>
              </w:rPr>
            </w:pPr>
            <w:r w:rsidRPr="008C2F68">
              <w:rPr>
                <w:b/>
                <w:szCs w:val="22"/>
              </w:rPr>
              <w:t>Consolidated Statement of Financial Position</w:t>
            </w:r>
          </w:p>
        </w:tc>
        <w:tc>
          <w:tcPr>
            <w:tcW w:w="1371" w:type="dxa"/>
          </w:tcPr>
          <w:p w:rsidR="00631B07" w:rsidRPr="008C2F68" w:rsidRDefault="00631B07" w:rsidP="007F7D22">
            <w:pPr>
              <w:tabs>
                <w:tab w:val="decimal" w:pos="1083"/>
              </w:tabs>
              <w:jc w:val="both"/>
              <w:rPr>
                <w:szCs w:val="22"/>
              </w:rPr>
            </w:pPr>
          </w:p>
        </w:tc>
        <w:tc>
          <w:tcPr>
            <w:tcW w:w="1800" w:type="dxa"/>
          </w:tcPr>
          <w:p w:rsidR="00631B07" w:rsidRPr="008C2F68" w:rsidRDefault="00631B07" w:rsidP="00130836">
            <w:pPr>
              <w:jc w:val="right"/>
              <w:rPr>
                <w:szCs w:val="22"/>
              </w:rPr>
            </w:pPr>
          </w:p>
        </w:tc>
        <w:tc>
          <w:tcPr>
            <w:tcW w:w="1710" w:type="dxa"/>
          </w:tcPr>
          <w:p w:rsidR="00631B07" w:rsidRPr="008C2F68" w:rsidRDefault="00631B07" w:rsidP="00130836">
            <w:pPr>
              <w:jc w:val="right"/>
              <w:rPr>
                <w:szCs w:val="22"/>
              </w:rPr>
            </w:pPr>
          </w:p>
        </w:tc>
        <w:tc>
          <w:tcPr>
            <w:tcW w:w="1337" w:type="dxa"/>
            <w:gridSpan w:val="2"/>
          </w:tcPr>
          <w:p w:rsidR="00631B07" w:rsidRPr="008C2F68" w:rsidRDefault="00631B07" w:rsidP="007F7D22">
            <w:pPr>
              <w:tabs>
                <w:tab w:val="decimal" w:pos="972"/>
              </w:tabs>
              <w:jc w:val="both"/>
              <w:rPr>
                <w:szCs w:val="22"/>
              </w:rPr>
            </w:pPr>
          </w:p>
        </w:tc>
      </w:tr>
      <w:tr w:rsidR="00093910" w:rsidRPr="008C2F68" w:rsidTr="00A06C04">
        <w:trPr>
          <w:gridBefore w:val="1"/>
          <w:wBefore w:w="6" w:type="dxa"/>
        </w:trPr>
        <w:tc>
          <w:tcPr>
            <w:tcW w:w="2673" w:type="dxa"/>
          </w:tcPr>
          <w:p w:rsidR="00093910" w:rsidRPr="008C2F68" w:rsidRDefault="00093910" w:rsidP="003A51C3">
            <w:pPr>
              <w:jc w:val="both"/>
              <w:rPr>
                <w:szCs w:val="22"/>
              </w:rPr>
            </w:pPr>
            <w:r w:rsidRPr="008C2F68">
              <w:rPr>
                <w:szCs w:val="22"/>
              </w:rPr>
              <w:t>Segment assets</w:t>
            </w:r>
          </w:p>
        </w:tc>
        <w:tc>
          <w:tcPr>
            <w:tcW w:w="1371" w:type="dxa"/>
          </w:tcPr>
          <w:p w:rsidR="00093910" w:rsidRPr="008C2F68" w:rsidRDefault="00F120D5" w:rsidP="007F7D22">
            <w:pPr>
              <w:tabs>
                <w:tab w:val="clear" w:pos="720"/>
                <w:tab w:val="clear" w:pos="1440"/>
                <w:tab w:val="decimal" w:pos="1083"/>
              </w:tabs>
              <w:jc w:val="both"/>
              <w:rPr>
                <w:szCs w:val="22"/>
                <w:lang w:eastAsia="zh-CN"/>
              </w:rPr>
            </w:pPr>
            <w:r w:rsidRPr="008C2F68">
              <w:rPr>
                <w:szCs w:val="22"/>
                <w:lang w:eastAsia="zh-CN"/>
              </w:rPr>
              <w:t>15,982</w:t>
            </w:r>
          </w:p>
        </w:tc>
        <w:tc>
          <w:tcPr>
            <w:tcW w:w="1800" w:type="dxa"/>
          </w:tcPr>
          <w:p w:rsidR="00093910" w:rsidRPr="008C2F68" w:rsidRDefault="00F120D5" w:rsidP="006116F1">
            <w:pPr>
              <w:jc w:val="right"/>
              <w:rPr>
                <w:szCs w:val="22"/>
                <w:lang w:eastAsia="zh-CN"/>
              </w:rPr>
            </w:pPr>
            <w:r w:rsidRPr="008C2F68">
              <w:rPr>
                <w:szCs w:val="22"/>
                <w:lang w:eastAsia="zh-CN"/>
              </w:rPr>
              <w:t>63,015</w:t>
            </w:r>
          </w:p>
        </w:tc>
        <w:tc>
          <w:tcPr>
            <w:tcW w:w="1710" w:type="dxa"/>
          </w:tcPr>
          <w:p w:rsidR="00093910" w:rsidRPr="008C2F68" w:rsidRDefault="00F120D5" w:rsidP="007F7D22">
            <w:pPr>
              <w:tabs>
                <w:tab w:val="clear" w:pos="720"/>
                <w:tab w:val="clear" w:pos="1440"/>
              </w:tabs>
              <w:ind w:right="72"/>
              <w:jc w:val="right"/>
              <w:rPr>
                <w:szCs w:val="22"/>
                <w:lang w:eastAsia="zh-CN"/>
              </w:rPr>
            </w:pPr>
            <w:r w:rsidRPr="008C2F68">
              <w:rPr>
                <w:szCs w:val="22"/>
                <w:lang w:eastAsia="zh-CN"/>
              </w:rPr>
              <w:t>10,173</w:t>
            </w:r>
          </w:p>
        </w:tc>
        <w:tc>
          <w:tcPr>
            <w:tcW w:w="1337" w:type="dxa"/>
            <w:gridSpan w:val="2"/>
          </w:tcPr>
          <w:p w:rsidR="00093910" w:rsidRPr="008C2F68" w:rsidRDefault="00F120D5" w:rsidP="007F7D22">
            <w:pPr>
              <w:tabs>
                <w:tab w:val="clear" w:pos="720"/>
                <w:tab w:val="clear" w:pos="1440"/>
                <w:tab w:val="decimal" w:pos="972"/>
              </w:tabs>
              <w:jc w:val="both"/>
              <w:rPr>
                <w:szCs w:val="22"/>
                <w:lang w:eastAsia="zh-CN"/>
              </w:rPr>
            </w:pPr>
            <w:r w:rsidRPr="008C2F68">
              <w:rPr>
                <w:szCs w:val="22"/>
                <w:lang w:eastAsia="zh-CN"/>
              </w:rPr>
              <w:t>89,170</w:t>
            </w:r>
          </w:p>
        </w:tc>
      </w:tr>
      <w:tr w:rsidR="00093910" w:rsidRPr="008C2F68" w:rsidTr="00A06C04">
        <w:trPr>
          <w:gridBefore w:val="1"/>
          <w:wBefore w:w="6" w:type="dxa"/>
        </w:trPr>
        <w:tc>
          <w:tcPr>
            <w:tcW w:w="2673" w:type="dxa"/>
          </w:tcPr>
          <w:p w:rsidR="00093910" w:rsidRPr="008C2F68" w:rsidRDefault="00093910" w:rsidP="003A51C3">
            <w:pPr>
              <w:jc w:val="both"/>
              <w:rPr>
                <w:szCs w:val="22"/>
              </w:rPr>
            </w:pPr>
            <w:r w:rsidRPr="008C2F68">
              <w:rPr>
                <w:szCs w:val="22"/>
              </w:rPr>
              <w:t>Segment liabilities</w:t>
            </w:r>
          </w:p>
        </w:tc>
        <w:tc>
          <w:tcPr>
            <w:tcW w:w="1371" w:type="dxa"/>
          </w:tcPr>
          <w:p w:rsidR="00093910" w:rsidRPr="008C2F68" w:rsidRDefault="00F120D5" w:rsidP="007F7D22">
            <w:pPr>
              <w:tabs>
                <w:tab w:val="clear" w:pos="720"/>
                <w:tab w:val="clear" w:pos="1440"/>
                <w:tab w:val="decimal" w:pos="1083"/>
              </w:tabs>
              <w:jc w:val="both"/>
              <w:rPr>
                <w:szCs w:val="22"/>
                <w:lang w:eastAsia="zh-CN"/>
              </w:rPr>
            </w:pPr>
            <w:r w:rsidRPr="008C2F68">
              <w:rPr>
                <w:szCs w:val="22"/>
                <w:lang w:eastAsia="zh-CN"/>
              </w:rPr>
              <w:t>349</w:t>
            </w:r>
          </w:p>
        </w:tc>
        <w:tc>
          <w:tcPr>
            <w:tcW w:w="1800" w:type="dxa"/>
          </w:tcPr>
          <w:p w:rsidR="00093910" w:rsidRPr="008C2F68" w:rsidRDefault="00F120D5" w:rsidP="00B23A43">
            <w:pPr>
              <w:jc w:val="right"/>
              <w:rPr>
                <w:szCs w:val="22"/>
                <w:lang w:eastAsia="zh-CN"/>
              </w:rPr>
            </w:pPr>
            <w:r w:rsidRPr="008C2F68">
              <w:rPr>
                <w:szCs w:val="22"/>
                <w:lang w:eastAsia="zh-CN"/>
              </w:rPr>
              <w:t>15,228</w:t>
            </w:r>
          </w:p>
        </w:tc>
        <w:tc>
          <w:tcPr>
            <w:tcW w:w="1710" w:type="dxa"/>
          </w:tcPr>
          <w:p w:rsidR="00093910" w:rsidRPr="008C2F68" w:rsidRDefault="00F120D5" w:rsidP="007F7D22">
            <w:pPr>
              <w:tabs>
                <w:tab w:val="clear" w:pos="720"/>
                <w:tab w:val="clear" w:pos="1440"/>
              </w:tabs>
              <w:ind w:right="72"/>
              <w:jc w:val="right"/>
              <w:rPr>
                <w:szCs w:val="22"/>
                <w:lang w:eastAsia="zh-CN"/>
              </w:rPr>
            </w:pPr>
            <w:r w:rsidRPr="008C2F68">
              <w:rPr>
                <w:szCs w:val="22"/>
                <w:lang w:eastAsia="zh-CN"/>
              </w:rPr>
              <w:t>1,221</w:t>
            </w:r>
          </w:p>
        </w:tc>
        <w:tc>
          <w:tcPr>
            <w:tcW w:w="1337" w:type="dxa"/>
            <w:gridSpan w:val="2"/>
          </w:tcPr>
          <w:p w:rsidR="00093910" w:rsidRPr="008C2F68" w:rsidRDefault="00F120D5" w:rsidP="007F7D22">
            <w:pPr>
              <w:tabs>
                <w:tab w:val="clear" w:pos="720"/>
                <w:tab w:val="clear" w:pos="1440"/>
                <w:tab w:val="decimal" w:pos="972"/>
              </w:tabs>
              <w:jc w:val="both"/>
              <w:rPr>
                <w:szCs w:val="22"/>
                <w:lang w:eastAsia="zh-CN"/>
              </w:rPr>
            </w:pPr>
            <w:r w:rsidRPr="008C2F68">
              <w:rPr>
                <w:szCs w:val="22"/>
                <w:lang w:eastAsia="zh-CN"/>
              </w:rPr>
              <w:t>16,798</w:t>
            </w:r>
          </w:p>
        </w:tc>
      </w:tr>
      <w:tr w:rsidR="00F120D5" w:rsidRPr="008C2F68" w:rsidTr="00A06C04">
        <w:trPr>
          <w:gridBefore w:val="1"/>
          <w:wBefore w:w="6" w:type="dxa"/>
        </w:trPr>
        <w:tc>
          <w:tcPr>
            <w:tcW w:w="2673" w:type="dxa"/>
          </w:tcPr>
          <w:p w:rsidR="00F120D5" w:rsidRPr="008C2F68" w:rsidRDefault="00F120D5" w:rsidP="003A51C3">
            <w:pPr>
              <w:jc w:val="both"/>
              <w:rPr>
                <w:szCs w:val="22"/>
              </w:rPr>
            </w:pPr>
          </w:p>
        </w:tc>
        <w:tc>
          <w:tcPr>
            <w:tcW w:w="1371" w:type="dxa"/>
          </w:tcPr>
          <w:p w:rsidR="00F120D5" w:rsidRPr="008C2F68" w:rsidRDefault="00F120D5" w:rsidP="007F7D22">
            <w:pPr>
              <w:tabs>
                <w:tab w:val="clear" w:pos="720"/>
                <w:tab w:val="clear" w:pos="1440"/>
                <w:tab w:val="decimal" w:pos="1083"/>
              </w:tabs>
              <w:jc w:val="both"/>
              <w:rPr>
                <w:szCs w:val="22"/>
                <w:lang w:eastAsia="zh-CN"/>
              </w:rPr>
            </w:pPr>
          </w:p>
        </w:tc>
        <w:tc>
          <w:tcPr>
            <w:tcW w:w="1800" w:type="dxa"/>
          </w:tcPr>
          <w:p w:rsidR="00F120D5" w:rsidRPr="008C2F68" w:rsidRDefault="00F120D5" w:rsidP="00B23A43">
            <w:pPr>
              <w:jc w:val="right"/>
              <w:rPr>
                <w:szCs w:val="22"/>
                <w:lang w:eastAsia="zh-CN"/>
              </w:rPr>
            </w:pPr>
          </w:p>
        </w:tc>
        <w:tc>
          <w:tcPr>
            <w:tcW w:w="1710" w:type="dxa"/>
          </w:tcPr>
          <w:p w:rsidR="00F120D5" w:rsidRPr="008C2F68" w:rsidRDefault="00F120D5" w:rsidP="007F7D22">
            <w:pPr>
              <w:tabs>
                <w:tab w:val="clear" w:pos="720"/>
                <w:tab w:val="clear" w:pos="1440"/>
              </w:tabs>
              <w:ind w:right="72"/>
              <w:jc w:val="right"/>
              <w:rPr>
                <w:szCs w:val="22"/>
                <w:lang w:eastAsia="zh-CN"/>
              </w:rPr>
            </w:pPr>
          </w:p>
        </w:tc>
        <w:tc>
          <w:tcPr>
            <w:tcW w:w="1337" w:type="dxa"/>
            <w:gridSpan w:val="2"/>
          </w:tcPr>
          <w:p w:rsidR="00F120D5" w:rsidRPr="008C2F68" w:rsidRDefault="00F120D5" w:rsidP="007F7D22">
            <w:pPr>
              <w:tabs>
                <w:tab w:val="clear" w:pos="720"/>
                <w:tab w:val="clear" w:pos="1440"/>
                <w:tab w:val="decimal" w:pos="972"/>
              </w:tabs>
              <w:jc w:val="both"/>
              <w:rPr>
                <w:szCs w:val="22"/>
                <w:lang w:eastAsia="zh-CN"/>
              </w:rPr>
            </w:pPr>
          </w:p>
        </w:tc>
      </w:tr>
    </w:tbl>
    <w:p w:rsidR="00E34F8A" w:rsidRPr="008C2F68" w:rsidRDefault="00E34F8A" w:rsidP="001B0AC1">
      <w:pPr>
        <w:rPr>
          <w:lang w:eastAsia="zh-CN"/>
        </w:rPr>
      </w:pPr>
    </w:p>
    <w:p w:rsidR="00866EC4" w:rsidRPr="008C2F68" w:rsidRDefault="00866EC4" w:rsidP="0076492B">
      <w:pPr>
        <w:pStyle w:val="BodyText"/>
        <w:spacing w:line="235" w:lineRule="auto"/>
        <w:rPr>
          <w:b/>
          <w:bCs/>
          <w:szCs w:val="22"/>
          <w:lang w:eastAsia="zh-CN"/>
        </w:rPr>
      </w:pPr>
    </w:p>
    <w:p w:rsidR="002A76BE" w:rsidRPr="008C2F68" w:rsidRDefault="002A76BE" w:rsidP="0076492B">
      <w:pPr>
        <w:pStyle w:val="BodyText"/>
        <w:spacing w:line="235" w:lineRule="auto"/>
        <w:rPr>
          <w:b/>
          <w:bCs/>
          <w:szCs w:val="22"/>
          <w:lang w:eastAsia="zh-CN"/>
        </w:rPr>
      </w:pPr>
      <w:r w:rsidRPr="008C2F68">
        <w:rPr>
          <w:b/>
          <w:bCs/>
          <w:szCs w:val="22"/>
          <w:lang w:eastAsia="zh-CN"/>
        </w:rPr>
        <w:t>10.</w:t>
      </w:r>
      <w:r w:rsidRPr="008C2F68">
        <w:rPr>
          <w:b/>
          <w:bCs/>
          <w:szCs w:val="22"/>
          <w:lang w:eastAsia="zh-CN"/>
        </w:rPr>
        <w:tab/>
        <w:t>Valuation of Property, Plant and Equipment</w:t>
      </w:r>
    </w:p>
    <w:p w:rsidR="002A76BE" w:rsidRPr="008C2F68" w:rsidRDefault="002A76BE" w:rsidP="0076492B">
      <w:pPr>
        <w:pStyle w:val="BodyText"/>
        <w:spacing w:line="235" w:lineRule="auto"/>
        <w:rPr>
          <w:b/>
          <w:bCs/>
          <w:szCs w:val="22"/>
          <w:lang w:eastAsia="zh-CN"/>
        </w:rPr>
      </w:pPr>
    </w:p>
    <w:p w:rsidR="002A76BE" w:rsidRPr="008C2F68" w:rsidRDefault="002A76BE" w:rsidP="005E2394">
      <w:pPr>
        <w:pStyle w:val="BodyText"/>
        <w:spacing w:line="235" w:lineRule="auto"/>
        <w:ind w:left="720"/>
        <w:rPr>
          <w:bCs/>
          <w:szCs w:val="22"/>
          <w:lang w:eastAsia="zh-CN"/>
        </w:rPr>
      </w:pPr>
      <w:r w:rsidRPr="008C2F68">
        <w:rPr>
          <w:bCs/>
          <w:szCs w:val="22"/>
          <w:lang w:eastAsia="zh-CN"/>
        </w:rPr>
        <w:t>The Group did not revalue any of its property, plant and equipment during the current financial quarter under review. Therefore, the valuation of property, plant and equipment has been brought forward without amendment from the previous annual financial statements.</w:t>
      </w:r>
    </w:p>
    <w:p w:rsidR="002A76BE" w:rsidRPr="008C2F68" w:rsidRDefault="002A76BE"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541004" w:rsidRPr="008C2F68" w:rsidRDefault="00434C3F" w:rsidP="009D5566">
      <w:pPr>
        <w:pStyle w:val="BodyText"/>
        <w:spacing w:line="235" w:lineRule="auto"/>
        <w:ind w:left="720"/>
        <w:rPr>
          <w:szCs w:val="22"/>
        </w:rPr>
      </w:pPr>
      <w:r w:rsidRPr="008C2F68">
        <w:rPr>
          <w:szCs w:val="22"/>
        </w:rPr>
        <w:t>Subsequent to the end of the current financial quarter, t</w:t>
      </w:r>
      <w:r w:rsidR="00F410A9" w:rsidRPr="008C2F68">
        <w:rPr>
          <w:szCs w:val="22"/>
        </w:rPr>
        <w:t>he Group has disposed of a property in October for RM1.330 million wi</w:t>
      </w:r>
      <w:r w:rsidR="0006392D" w:rsidRPr="008C2F68">
        <w:rPr>
          <w:szCs w:val="22"/>
        </w:rPr>
        <w:t>th a gain of approximately RM690</w:t>
      </w:r>
      <w:r w:rsidR="00F410A9" w:rsidRPr="008C2F68">
        <w:rPr>
          <w:szCs w:val="22"/>
        </w:rPr>
        <w:t>,000.</w:t>
      </w:r>
    </w:p>
    <w:p w:rsidR="002D5E21" w:rsidRPr="008C2F68" w:rsidRDefault="002D5E21" w:rsidP="0076492B">
      <w:pPr>
        <w:pStyle w:val="BodyText"/>
        <w:spacing w:line="235" w:lineRule="auto"/>
        <w:ind w:left="720"/>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7F5291" w:rsidRPr="008C2F68" w:rsidRDefault="007F5291" w:rsidP="0076492B">
      <w:pPr>
        <w:pStyle w:val="BodyText"/>
        <w:spacing w:line="235" w:lineRule="auto"/>
        <w:ind w:left="720"/>
        <w:rPr>
          <w:szCs w:val="22"/>
        </w:rPr>
      </w:pPr>
      <w:r w:rsidRPr="008C2F68">
        <w:rPr>
          <w:szCs w:val="22"/>
        </w:rPr>
        <w:t>There were no changes in the composition of the Group during the current financial quarter under review.</w:t>
      </w:r>
    </w:p>
    <w:p w:rsidR="002D5E21" w:rsidRPr="008C2F68" w:rsidRDefault="002D5E21" w:rsidP="0076492B">
      <w:pPr>
        <w:pStyle w:val="BodyText"/>
        <w:spacing w:line="235" w:lineRule="auto"/>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8C2F68" w:rsidRDefault="00D05BF8" w:rsidP="00E56779">
      <w:pPr>
        <w:pStyle w:val="BodyText"/>
        <w:numPr>
          <w:ilvl w:val="0"/>
          <w:numId w:val="2"/>
        </w:numPr>
        <w:spacing w:line="235" w:lineRule="auto"/>
        <w:rPr>
          <w:b/>
          <w:szCs w:val="22"/>
        </w:rPr>
      </w:pPr>
      <w:r w:rsidRPr="008C2F68">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DC0E25" w:rsidRPr="008C2F68">
        <w:rPr>
          <w:szCs w:val="22"/>
          <w:lang w:eastAsia="zh-CN"/>
        </w:rPr>
        <w:t xml:space="preserve"> of contingent liabilities as at </w:t>
      </w:r>
      <w:r w:rsidR="00600FCC" w:rsidRPr="008C2F68">
        <w:rPr>
          <w:szCs w:val="22"/>
          <w:lang w:eastAsia="zh-CN"/>
        </w:rPr>
        <w:t>3</w:t>
      </w:r>
      <w:r w:rsidR="00A73C53" w:rsidRPr="008C2F68">
        <w:rPr>
          <w:szCs w:val="22"/>
          <w:lang w:eastAsia="zh-CN"/>
        </w:rPr>
        <w:t>0</w:t>
      </w:r>
      <w:r w:rsidR="00600FCC" w:rsidRPr="008C2F68">
        <w:rPr>
          <w:szCs w:val="22"/>
          <w:lang w:eastAsia="zh-CN"/>
        </w:rPr>
        <w:t xml:space="preserve"> </w:t>
      </w:r>
      <w:r w:rsidR="00B26B73" w:rsidRPr="008C2F68">
        <w:rPr>
          <w:szCs w:val="22"/>
          <w:lang w:eastAsia="zh-CN"/>
        </w:rPr>
        <w:t>September</w:t>
      </w:r>
      <w:r w:rsidR="00600FCC" w:rsidRPr="008C2F68">
        <w:rPr>
          <w:szCs w:val="22"/>
          <w:lang w:eastAsia="zh-CN"/>
        </w:rPr>
        <w:t xml:space="preserve"> </w:t>
      </w:r>
      <w:r w:rsidR="00AD4113" w:rsidRPr="008C2F68">
        <w:rPr>
          <w:rFonts w:hint="eastAsia"/>
          <w:szCs w:val="22"/>
          <w:lang w:eastAsia="zh-CN"/>
        </w:rPr>
        <w:t>201</w:t>
      </w:r>
      <w:r w:rsidR="005B529A" w:rsidRPr="008C2F68">
        <w:rPr>
          <w:szCs w:val="22"/>
          <w:lang w:eastAsia="zh-CN"/>
        </w:rPr>
        <w:t>3</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600FCC" w:rsidP="00955099">
            <w:pPr>
              <w:tabs>
                <w:tab w:val="clear" w:pos="720"/>
                <w:tab w:val="clear" w:pos="1440"/>
              </w:tabs>
              <w:autoSpaceDE w:val="0"/>
              <w:autoSpaceDN w:val="0"/>
              <w:adjustRightInd w:val="0"/>
              <w:jc w:val="center"/>
              <w:rPr>
                <w:szCs w:val="22"/>
                <w:lang w:eastAsia="zh-CN"/>
              </w:rPr>
            </w:pPr>
            <w:r w:rsidRPr="008C2F68">
              <w:rPr>
                <w:szCs w:val="22"/>
                <w:lang w:eastAsia="zh-CN"/>
              </w:rPr>
              <w:t>23,050,000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8C2F68">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C32491" w:rsidRPr="008C2F68" w:rsidRDefault="00C32491" w:rsidP="00FA54DB">
      <w:pPr>
        <w:pStyle w:val="BodyText"/>
        <w:spacing w:line="235" w:lineRule="auto"/>
        <w:jc w:val="left"/>
        <w:rPr>
          <w:b/>
          <w:bCs/>
          <w:szCs w:val="22"/>
        </w:rPr>
      </w:pPr>
    </w:p>
    <w:p w:rsidR="00FC7788" w:rsidRPr="008C2F68" w:rsidRDefault="00FC7788" w:rsidP="00FA54DB">
      <w:pPr>
        <w:pStyle w:val="BodyText"/>
        <w:spacing w:line="235" w:lineRule="auto"/>
        <w:jc w:val="left"/>
        <w:rPr>
          <w:b/>
          <w:bCs/>
          <w:szCs w:val="22"/>
        </w:rPr>
      </w:pPr>
      <w:r w:rsidRPr="008C2F68">
        <w:rPr>
          <w:b/>
          <w:bCs/>
          <w:szCs w:val="22"/>
        </w:rPr>
        <w:t>1</w:t>
      </w:r>
      <w:r w:rsidR="002A76BE" w:rsidRPr="008C2F68">
        <w:rPr>
          <w:b/>
          <w:bCs/>
          <w:szCs w:val="22"/>
          <w:lang w:eastAsia="zh-CN"/>
        </w:rPr>
        <w:t>4</w:t>
      </w:r>
      <w:r w:rsidR="00E75F61" w:rsidRPr="008C2F68">
        <w:rPr>
          <w:rFonts w:hint="eastAsia"/>
          <w:b/>
          <w:bCs/>
          <w:szCs w:val="22"/>
          <w:lang w:eastAsia="zh-CN"/>
        </w:rPr>
        <w:t>.</w:t>
      </w:r>
      <w:r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407662" w:rsidRPr="008C2F68">
        <w:rPr>
          <w:szCs w:val="22"/>
          <w:lang w:eastAsia="zh-CN"/>
        </w:rPr>
        <w:t>3</w:t>
      </w:r>
      <w:r w:rsidR="00677B8F" w:rsidRPr="008C2F68">
        <w:rPr>
          <w:szCs w:val="22"/>
          <w:lang w:eastAsia="zh-CN"/>
        </w:rPr>
        <w:t>0</w:t>
      </w:r>
      <w:r w:rsidR="00A96FB8" w:rsidRPr="008C2F68">
        <w:rPr>
          <w:szCs w:val="22"/>
          <w:lang w:eastAsia="zh-CN"/>
        </w:rPr>
        <w:t xml:space="preserve"> September</w:t>
      </w:r>
      <w:r w:rsidR="00407662" w:rsidRPr="008C2F68">
        <w:rPr>
          <w:szCs w:val="22"/>
          <w:lang w:eastAsia="zh-CN"/>
        </w:rPr>
        <w:t xml:space="preserve"> </w:t>
      </w:r>
      <w:r w:rsidR="00407662" w:rsidRPr="008C2F68">
        <w:rPr>
          <w:rFonts w:hint="eastAsia"/>
          <w:szCs w:val="22"/>
          <w:lang w:eastAsia="zh-CN"/>
        </w:rPr>
        <w:t>201</w:t>
      </w:r>
      <w:r w:rsidR="00407662" w:rsidRPr="008C2F68">
        <w:rPr>
          <w:szCs w:val="22"/>
          <w:lang w:eastAsia="zh-CN"/>
        </w:rPr>
        <w:t xml:space="preserve">3 </w:t>
      </w:r>
      <w:r w:rsidR="006474DA" w:rsidRPr="008C2F68">
        <w:rPr>
          <w:szCs w:val="22"/>
          <w:lang w:eastAsia="zh-CN"/>
        </w:rPr>
        <w:t>wa</w:t>
      </w:r>
      <w:r w:rsidR="0096719E" w:rsidRPr="008C2F68">
        <w:rPr>
          <w:bCs/>
          <w:szCs w:val="22"/>
        </w:rPr>
        <w:t>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8C2F68">
        <w:tc>
          <w:tcPr>
            <w:tcW w:w="7200" w:type="dxa"/>
            <w:shd w:val="clear" w:color="auto" w:fill="auto"/>
          </w:tcPr>
          <w:p w:rsidR="008D6936" w:rsidRPr="008C2F68" w:rsidRDefault="008D6936" w:rsidP="00795EE5">
            <w:pPr>
              <w:tabs>
                <w:tab w:val="clear" w:pos="720"/>
                <w:tab w:val="clear" w:pos="1440"/>
              </w:tabs>
              <w:autoSpaceDE w:val="0"/>
              <w:autoSpaceDN w:val="0"/>
              <w:adjustRightInd w:val="0"/>
              <w:rPr>
                <w:szCs w:val="22"/>
                <w:lang w:eastAsia="zh-CN"/>
              </w:rPr>
            </w:pPr>
            <w:r w:rsidRPr="008C2F68">
              <w:rPr>
                <w:szCs w:val="22"/>
                <w:lang w:eastAsia="zh-CN"/>
              </w:rPr>
              <w:t>Capital expenditure:</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but not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733CD2" w:rsidP="00733CD2">
            <w:pPr>
              <w:tabs>
                <w:tab w:val="clear" w:pos="720"/>
                <w:tab w:val="clear" w:pos="1440"/>
              </w:tabs>
              <w:autoSpaceDE w:val="0"/>
              <w:autoSpaceDN w:val="0"/>
              <w:adjustRightInd w:val="0"/>
              <w:jc w:val="center"/>
              <w:rPr>
                <w:szCs w:val="22"/>
                <w:lang w:eastAsia="zh-CN"/>
              </w:rPr>
            </w:pPr>
            <w:r w:rsidRPr="008C2F68">
              <w:rPr>
                <w:szCs w:val="22"/>
                <w:lang w:eastAsia="zh-CN"/>
              </w:rPr>
              <w:t>558,624</w:t>
            </w:r>
          </w:p>
        </w:tc>
      </w:tr>
    </w:tbl>
    <w:p w:rsidR="002D5E21" w:rsidRPr="008C2F68" w:rsidRDefault="002D5E21" w:rsidP="00802DE5">
      <w:pPr>
        <w:rPr>
          <w:szCs w:val="22"/>
          <w:lang w:eastAsia="zh-CN"/>
        </w:rPr>
      </w:pPr>
    </w:p>
    <w:p w:rsidR="004C5326" w:rsidRPr="008C2F68" w:rsidRDefault="004C5326">
      <w:pPr>
        <w:tabs>
          <w:tab w:val="clear" w:pos="720"/>
          <w:tab w:val="clear" w:pos="1440"/>
        </w:tabs>
        <w:rPr>
          <w:szCs w:val="22"/>
          <w:lang w:eastAsia="zh-CN"/>
        </w:rPr>
      </w:pPr>
      <w:r w:rsidRPr="008C2F68">
        <w:rPr>
          <w:szCs w:val="22"/>
          <w:lang w:eastAsia="zh-CN"/>
        </w:rPr>
        <w:br w:type="page"/>
      </w:r>
    </w:p>
    <w:p w:rsidR="004C5326" w:rsidRPr="008C2F68" w:rsidRDefault="004C5326" w:rsidP="00802DE5">
      <w:pPr>
        <w:rPr>
          <w:szCs w:val="22"/>
          <w:lang w:eastAsia="zh-CN"/>
        </w:rPr>
      </w:pPr>
    </w:p>
    <w:p w:rsidR="005B5743" w:rsidRPr="008C2F68" w:rsidRDefault="005B5743" w:rsidP="005B574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5A086D">
            <w:pPr>
              <w:pStyle w:val="BodyText"/>
              <w:tabs>
                <w:tab w:val="clear" w:pos="1080"/>
              </w:tabs>
              <w:spacing w:line="235" w:lineRule="auto"/>
              <w:jc w:val="center"/>
              <w:rPr>
                <w:b/>
                <w:bCs/>
                <w:szCs w:val="22"/>
                <w:lang w:eastAsia="zh-CN"/>
              </w:rPr>
            </w:pPr>
            <w:r w:rsidRPr="008C2F68">
              <w:rPr>
                <w:rFonts w:hint="eastAsia"/>
                <w:b/>
                <w:bCs/>
                <w:szCs w:val="22"/>
                <w:lang w:eastAsia="zh-CN"/>
              </w:rPr>
              <w:t>3</w:t>
            </w:r>
            <w:r w:rsidR="00E87844" w:rsidRPr="008C2F68">
              <w:rPr>
                <w:b/>
                <w:bCs/>
                <w:szCs w:val="22"/>
                <w:lang w:eastAsia="zh-CN"/>
              </w:rPr>
              <w:t>0</w:t>
            </w:r>
            <w:r w:rsidRPr="008C2F68">
              <w:rPr>
                <w:rFonts w:hint="eastAsia"/>
                <w:b/>
                <w:bCs/>
                <w:szCs w:val="22"/>
                <w:lang w:eastAsia="zh-CN"/>
              </w:rPr>
              <w:t>.</w:t>
            </w:r>
            <w:r w:rsidR="00553EA9" w:rsidRPr="008C2F68">
              <w:rPr>
                <w:b/>
                <w:bCs/>
                <w:szCs w:val="22"/>
                <w:lang w:eastAsia="zh-CN"/>
              </w:rPr>
              <w:t>0</w:t>
            </w:r>
            <w:r w:rsidR="005A086D" w:rsidRPr="008C2F68">
              <w:rPr>
                <w:b/>
                <w:bCs/>
                <w:szCs w:val="22"/>
                <w:lang w:eastAsia="zh-CN"/>
              </w:rPr>
              <w:t>9</w:t>
            </w:r>
            <w:r w:rsidRPr="008C2F68">
              <w:rPr>
                <w:rFonts w:hint="eastAsia"/>
                <w:b/>
                <w:bCs/>
                <w:szCs w:val="22"/>
                <w:lang w:eastAsia="zh-CN"/>
              </w:rPr>
              <w:t>.201</w:t>
            </w:r>
            <w:r w:rsidR="00553EA9" w:rsidRPr="008C2F68">
              <w:rPr>
                <w:b/>
                <w:bCs/>
                <w:szCs w:val="22"/>
                <w:lang w:eastAsia="zh-CN"/>
              </w:rPr>
              <w:t>3</w:t>
            </w:r>
          </w:p>
        </w:tc>
        <w:tc>
          <w:tcPr>
            <w:tcW w:w="1890" w:type="dxa"/>
            <w:shd w:val="clear" w:color="auto" w:fill="auto"/>
          </w:tcPr>
          <w:p w:rsidR="005B5743" w:rsidRPr="008C2F68" w:rsidRDefault="005B5743" w:rsidP="003F15A9">
            <w:pPr>
              <w:pStyle w:val="BodyText"/>
              <w:tabs>
                <w:tab w:val="clear" w:pos="1080"/>
              </w:tabs>
              <w:spacing w:line="235" w:lineRule="auto"/>
              <w:jc w:val="center"/>
              <w:rPr>
                <w:b/>
                <w:bCs/>
                <w:iCs/>
                <w:szCs w:val="22"/>
                <w:lang w:eastAsia="zh-CN"/>
              </w:rPr>
            </w:pPr>
            <w:r w:rsidRPr="008C2F68">
              <w:rPr>
                <w:rFonts w:hint="eastAsia"/>
                <w:b/>
                <w:bCs/>
                <w:szCs w:val="22"/>
                <w:lang w:eastAsia="zh-CN"/>
              </w:rPr>
              <w:t>3</w:t>
            </w:r>
            <w:r w:rsidR="00E87844" w:rsidRPr="008C2F68">
              <w:rPr>
                <w:b/>
                <w:bCs/>
                <w:szCs w:val="22"/>
                <w:lang w:eastAsia="zh-CN"/>
              </w:rPr>
              <w:t>0</w:t>
            </w:r>
            <w:r w:rsidRPr="008C2F68">
              <w:rPr>
                <w:rFonts w:hint="eastAsia"/>
                <w:b/>
                <w:bCs/>
                <w:szCs w:val="22"/>
                <w:lang w:eastAsia="zh-CN"/>
              </w:rPr>
              <w:t>.</w:t>
            </w:r>
            <w:r w:rsidR="00553EA9" w:rsidRPr="008C2F68">
              <w:rPr>
                <w:b/>
                <w:bCs/>
                <w:szCs w:val="22"/>
                <w:lang w:eastAsia="zh-CN"/>
              </w:rPr>
              <w:t>0</w:t>
            </w:r>
            <w:r w:rsidR="003F15A9" w:rsidRPr="008C2F68">
              <w:rPr>
                <w:b/>
                <w:bCs/>
                <w:szCs w:val="22"/>
                <w:lang w:eastAsia="zh-CN"/>
              </w:rPr>
              <w:t>9</w:t>
            </w:r>
            <w:r w:rsidRPr="008C2F68">
              <w:rPr>
                <w:rFonts w:hint="eastAsia"/>
                <w:b/>
                <w:bCs/>
                <w:szCs w:val="22"/>
                <w:lang w:eastAsia="zh-CN"/>
              </w:rPr>
              <w:t>.201</w:t>
            </w:r>
            <w:r w:rsidR="003F15A9" w:rsidRPr="008C2F68">
              <w:rPr>
                <w:b/>
                <w:bCs/>
                <w:szCs w:val="22"/>
                <w:lang w:eastAsia="zh-CN"/>
              </w:rPr>
              <w:t>2</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8C2F68" w:rsidTr="00157179">
        <w:tc>
          <w:tcPr>
            <w:tcW w:w="2790" w:type="dxa"/>
            <w:tcBorders>
              <w:top w:val="single" w:sz="4" w:space="0" w:color="auto"/>
            </w:tcBorders>
            <w:shd w:val="clear" w:color="auto" w:fill="auto"/>
          </w:tcPr>
          <w:p w:rsidR="005B5743" w:rsidRPr="008C2F68" w:rsidRDefault="005B5743" w:rsidP="00157179">
            <w:pPr>
              <w:pStyle w:val="BodyText"/>
              <w:spacing w:line="235" w:lineRule="auto"/>
              <w:rPr>
                <w:szCs w:val="22"/>
              </w:rPr>
            </w:pPr>
            <w:r w:rsidRPr="008C2F68">
              <w:rPr>
                <w:szCs w:val="22"/>
              </w:rPr>
              <w:t>Revenue</w:t>
            </w:r>
          </w:p>
        </w:tc>
        <w:tc>
          <w:tcPr>
            <w:tcW w:w="1710" w:type="dxa"/>
            <w:shd w:val="clear" w:color="auto" w:fill="auto"/>
          </w:tcPr>
          <w:p w:rsidR="005B5743" w:rsidRPr="008C2F68" w:rsidRDefault="00553EA9" w:rsidP="00E87844">
            <w:pPr>
              <w:pStyle w:val="BodyText"/>
              <w:spacing w:line="235" w:lineRule="auto"/>
              <w:jc w:val="center"/>
              <w:rPr>
                <w:szCs w:val="22"/>
                <w:lang w:eastAsia="zh-CN"/>
              </w:rPr>
            </w:pPr>
            <w:r w:rsidRPr="008C2F68">
              <w:rPr>
                <w:szCs w:val="22"/>
                <w:lang w:eastAsia="zh-CN"/>
              </w:rPr>
              <w:t>3</w:t>
            </w:r>
            <w:r w:rsidR="00E53D88" w:rsidRPr="008C2F68">
              <w:rPr>
                <w:szCs w:val="22"/>
                <w:lang w:eastAsia="zh-CN"/>
              </w:rPr>
              <w:t>2,129</w:t>
            </w:r>
          </w:p>
        </w:tc>
        <w:tc>
          <w:tcPr>
            <w:tcW w:w="1890" w:type="dxa"/>
            <w:shd w:val="clear" w:color="auto" w:fill="auto"/>
          </w:tcPr>
          <w:p w:rsidR="005B5743" w:rsidRPr="008C2F68" w:rsidRDefault="00E87844" w:rsidP="00157179">
            <w:pPr>
              <w:pStyle w:val="BodyText"/>
              <w:spacing w:line="235" w:lineRule="auto"/>
              <w:jc w:val="center"/>
              <w:rPr>
                <w:szCs w:val="22"/>
                <w:lang w:eastAsia="zh-CN"/>
              </w:rPr>
            </w:pPr>
            <w:r w:rsidRPr="008C2F68">
              <w:rPr>
                <w:szCs w:val="22"/>
                <w:lang w:eastAsia="zh-CN"/>
              </w:rPr>
              <w:t>3</w:t>
            </w:r>
            <w:r w:rsidR="003F15A9" w:rsidRPr="008C2F68">
              <w:rPr>
                <w:szCs w:val="22"/>
                <w:lang w:eastAsia="zh-CN"/>
              </w:rPr>
              <w:t>1,718</w:t>
            </w:r>
          </w:p>
        </w:tc>
        <w:tc>
          <w:tcPr>
            <w:tcW w:w="1710" w:type="dxa"/>
            <w:shd w:val="clear" w:color="auto" w:fill="auto"/>
          </w:tcPr>
          <w:p w:rsidR="005B5743" w:rsidRPr="008C2F68" w:rsidRDefault="00E53D88" w:rsidP="00E87844">
            <w:pPr>
              <w:pStyle w:val="BodyText"/>
              <w:spacing w:line="235" w:lineRule="auto"/>
              <w:jc w:val="center"/>
              <w:rPr>
                <w:szCs w:val="22"/>
                <w:lang w:eastAsia="zh-CN"/>
              </w:rPr>
            </w:pPr>
            <w:r w:rsidRPr="008C2F68">
              <w:rPr>
                <w:szCs w:val="22"/>
                <w:lang w:eastAsia="zh-CN"/>
              </w:rPr>
              <w:t>411</w:t>
            </w:r>
          </w:p>
        </w:tc>
        <w:tc>
          <w:tcPr>
            <w:tcW w:w="1352" w:type="dxa"/>
            <w:shd w:val="clear" w:color="auto" w:fill="auto"/>
          </w:tcPr>
          <w:p w:rsidR="005B5743" w:rsidRPr="008C2F68" w:rsidRDefault="00E53D88" w:rsidP="008D4946">
            <w:pPr>
              <w:pStyle w:val="BodyText"/>
              <w:spacing w:line="235" w:lineRule="auto"/>
              <w:jc w:val="center"/>
              <w:rPr>
                <w:szCs w:val="22"/>
                <w:lang w:eastAsia="zh-CN"/>
              </w:rPr>
            </w:pPr>
            <w:r w:rsidRPr="008C2F68">
              <w:rPr>
                <w:szCs w:val="22"/>
                <w:lang w:eastAsia="zh-CN"/>
              </w:rPr>
              <w:t>1.</w:t>
            </w:r>
            <w:r w:rsidR="008D4946" w:rsidRPr="008C2F68">
              <w:rPr>
                <w:szCs w:val="22"/>
                <w:lang w:eastAsia="zh-CN"/>
              </w:rPr>
              <w:t>30</w:t>
            </w:r>
          </w:p>
        </w:tc>
      </w:tr>
      <w:tr w:rsidR="005B5743" w:rsidRPr="008C2F68" w:rsidTr="00157179">
        <w:tc>
          <w:tcPr>
            <w:tcW w:w="2790" w:type="dxa"/>
            <w:shd w:val="clear" w:color="auto" w:fill="auto"/>
          </w:tcPr>
          <w:p w:rsidR="005B5743" w:rsidRPr="008C2F68" w:rsidRDefault="005B5743" w:rsidP="00157179">
            <w:pPr>
              <w:pStyle w:val="BodyText"/>
              <w:spacing w:line="235" w:lineRule="auto"/>
              <w:rPr>
                <w:szCs w:val="22"/>
              </w:rPr>
            </w:pPr>
            <w:r w:rsidRPr="008C2F68">
              <w:rPr>
                <w:szCs w:val="22"/>
              </w:rPr>
              <w:t xml:space="preserve">Profit before tax </w:t>
            </w:r>
          </w:p>
        </w:tc>
        <w:tc>
          <w:tcPr>
            <w:tcW w:w="1710" w:type="dxa"/>
            <w:shd w:val="clear" w:color="auto" w:fill="auto"/>
          </w:tcPr>
          <w:p w:rsidR="005B5743" w:rsidRPr="008C2F68" w:rsidRDefault="00E87844" w:rsidP="00E87844">
            <w:pPr>
              <w:pStyle w:val="BodyText"/>
              <w:tabs>
                <w:tab w:val="clear" w:pos="1080"/>
                <w:tab w:val="left" w:pos="1152"/>
              </w:tabs>
              <w:spacing w:line="235" w:lineRule="auto"/>
              <w:jc w:val="center"/>
              <w:rPr>
                <w:szCs w:val="22"/>
                <w:lang w:eastAsia="zh-CN"/>
              </w:rPr>
            </w:pPr>
            <w:r w:rsidRPr="008C2F68">
              <w:rPr>
                <w:szCs w:val="22"/>
                <w:lang w:eastAsia="zh-CN"/>
              </w:rPr>
              <w:t>2</w:t>
            </w:r>
            <w:r w:rsidR="00E53D88" w:rsidRPr="008C2F68">
              <w:rPr>
                <w:szCs w:val="22"/>
                <w:lang w:eastAsia="zh-CN"/>
              </w:rPr>
              <w:t>,899</w:t>
            </w:r>
          </w:p>
        </w:tc>
        <w:tc>
          <w:tcPr>
            <w:tcW w:w="1890" w:type="dxa"/>
            <w:shd w:val="clear" w:color="auto" w:fill="auto"/>
          </w:tcPr>
          <w:p w:rsidR="005B5743" w:rsidRPr="008C2F68" w:rsidRDefault="003F15A9" w:rsidP="00E87844">
            <w:pPr>
              <w:pStyle w:val="BodyText"/>
              <w:spacing w:line="235" w:lineRule="auto"/>
              <w:jc w:val="center"/>
              <w:rPr>
                <w:szCs w:val="22"/>
                <w:lang w:eastAsia="zh-CN"/>
              </w:rPr>
            </w:pPr>
            <w:r w:rsidRPr="008C2F68">
              <w:rPr>
                <w:szCs w:val="22"/>
                <w:lang w:eastAsia="zh-CN"/>
              </w:rPr>
              <w:t>2,842</w:t>
            </w:r>
          </w:p>
        </w:tc>
        <w:tc>
          <w:tcPr>
            <w:tcW w:w="1710" w:type="dxa"/>
            <w:shd w:val="clear" w:color="auto" w:fill="auto"/>
          </w:tcPr>
          <w:p w:rsidR="005B5743" w:rsidRPr="008C2F68" w:rsidRDefault="00E53D88" w:rsidP="00D66FD8">
            <w:pPr>
              <w:pStyle w:val="BodyText"/>
              <w:spacing w:line="235" w:lineRule="auto"/>
              <w:jc w:val="center"/>
              <w:rPr>
                <w:szCs w:val="22"/>
                <w:lang w:eastAsia="zh-CN"/>
              </w:rPr>
            </w:pPr>
            <w:r w:rsidRPr="008C2F68">
              <w:rPr>
                <w:szCs w:val="22"/>
                <w:lang w:eastAsia="zh-CN"/>
              </w:rPr>
              <w:t>57</w:t>
            </w:r>
          </w:p>
        </w:tc>
        <w:tc>
          <w:tcPr>
            <w:tcW w:w="1352" w:type="dxa"/>
            <w:shd w:val="clear" w:color="auto" w:fill="auto"/>
          </w:tcPr>
          <w:p w:rsidR="005B5743" w:rsidRPr="008C2F68" w:rsidRDefault="00E53D88" w:rsidP="00E87844">
            <w:pPr>
              <w:pStyle w:val="BodyText"/>
              <w:spacing w:line="235" w:lineRule="auto"/>
              <w:jc w:val="center"/>
              <w:rPr>
                <w:szCs w:val="22"/>
                <w:lang w:eastAsia="zh-CN"/>
              </w:rPr>
            </w:pPr>
            <w:r w:rsidRPr="008C2F68">
              <w:rPr>
                <w:szCs w:val="22"/>
                <w:lang w:eastAsia="zh-CN"/>
              </w:rPr>
              <w:t>2.0</w:t>
            </w:r>
            <w:r w:rsidR="008D4946" w:rsidRPr="008C2F68">
              <w:rPr>
                <w:szCs w:val="22"/>
                <w:lang w:eastAsia="zh-CN"/>
              </w:rPr>
              <w:t>1</w:t>
            </w:r>
          </w:p>
        </w:tc>
      </w:tr>
    </w:tbl>
    <w:p w:rsidR="005B5743" w:rsidRPr="008C2F68" w:rsidRDefault="005B5743" w:rsidP="005B5743">
      <w:pPr>
        <w:pStyle w:val="BodyText"/>
        <w:spacing w:line="235" w:lineRule="auto"/>
        <w:ind w:left="810"/>
        <w:rPr>
          <w:szCs w:val="22"/>
          <w:lang w:eastAsia="zh-CN"/>
        </w:rPr>
      </w:pPr>
      <w:r w:rsidRPr="008C2F68">
        <w:rPr>
          <w:rFonts w:hint="eastAsia"/>
          <w:szCs w:val="22"/>
          <w:lang w:eastAsia="zh-CN"/>
        </w:rPr>
        <w:tab/>
      </w:r>
    </w:p>
    <w:p w:rsidR="005B5743" w:rsidRPr="008C2F68" w:rsidRDefault="005B5743" w:rsidP="005B5743">
      <w:pPr>
        <w:pStyle w:val="BodyText"/>
        <w:spacing w:line="235" w:lineRule="auto"/>
        <w:ind w:left="720"/>
        <w:rPr>
          <w:szCs w:val="22"/>
          <w:lang w:eastAsia="zh-CN"/>
        </w:rPr>
      </w:pPr>
      <w:r w:rsidRPr="008C2F68">
        <w:rPr>
          <w:szCs w:val="22"/>
          <w:lang w:eastAsia="zh-CN"/>
        </w:rPr>
        <w:t>For</w:t>
      </w:r>
      <w:r w:rsidRPr="008C2F68">
        <w:rPr>
          <w:rFonts w:hint="eastAsia"/>
          <w:szCs w:val="22"/>
          <w:lang w:eastAsia="zh-CN"/>
        </w:rPr>
        <w:t xml:space="preserve"> the</w:t>
      </w:r>
      <w:r w:rsidR="009B3ACD" w:rsidRPr="008C2F68">
        <w:rPr>
          <w:szCs w:val="22"/>
          <w:lang w:eastAsia="zh-CN"/>
        </w:rPr>
        <w:t xml:space="preserve"> </w:t>
      </w:r>
      <w:r w:rsidR="00E53D88" w:rsidRPr="008C2F68">
        <w:rPr>
          <w:szCs w:val="22"/>
          <w:lang w:eastAsia="zh-CN"/>
        </w:rPr>
        <w:t>third</w:t>
      </w:r>
      <w:r w:rsidR="009B3ACD" w:rsidRPr="008C2F68">
        <w:rPr>
          <w:szCs w:val="22"/>
          <w:lang w:eastAsia="zh-CN"/>
        </w:rPr>
        <w:t xml:space="preserve"> </w:t>
      </w:r>
      <w:r w:rsidRPr="008C2F68">
        <w:rPr>
          <w:rFonts w:hint="eastAsia"/>
          <w:szCs w:val="22"/>
          <w:lang w:eastAsia="zh-CN"/>
        </w:rPr>
        <w:t xml:space="preserve">quarter ended </w:t>
      </w:r>
      <w:r w:rsidRPr="008C2F68">
        <w:rPr>
          <w:szCs w:val="22"/>
          <w:lang w:eastAsia="zh-CN"/>
        </w:rPr>
        <w:t>3</w:t>
      </w:r>
      <w:r w:rsidR="00E87844" w:rsidRPr="008C2F68">
        <w:rPr>
          <w:szCs w:val="22"/>
          <w:lang w:eastAsia="zh-CN"/>
        </w:rPr>
        <w:t>0</w:t>
      </w:r>
      <w:r w:rsidRPr="008C2F68">
        <w:rPr>
          <w:szCs w:val="22"/>
          <w:lang w:eastAsia="zh-CN"/>
        </w:rPr>
        <w:t xml:space="preserve"> </w:t>
      </w:r>
      <w:r w:rsidR="00E53D88" w:rsidRPr="008C2F68">
        <w:rPr>
          <w:szCs w:val="22"/>
          <w:lang w:eastAsia="zh-CN"/>
        </w:rPr>
        <w:t>September</w:t>
      </w:r>
      <w:r w:rsidR="00034CA1" w:rsidRPr="008C2F68">
        <w:rPr>
          <w:szCs w:val="22"/>
          <w:lang w:eastAsia="zh-CN"/>
        </w:rPr>
        <w:t xml:space="preserve"> 2013</w:t>
      </w:r>
      <w:r w:rsidRPr="008C2F68">
        <w:rPr>
          <w:rFonts w:hint="eastAsia"/>
          <w:szCs w:val="22"/>
          <w:lang w:eastAsia="zh-CN"/>
        </w:rPr>
        <w:t>, the Group recorded revenue of RM</w:t>
      </w:r>
      <w:r w:rsidR="00034CA1" w:rsidRPr="008C2F68">
        <w:rPr>
          <w:szCs w:val="22"/>
          <w:lang w:eastAsia="zh-CN"/>
        </w:rPr>
        <w:t>3</w:t>
      </w:r>
      <w:r w:rsidR="00E53D88" w:rsidRPr="008C2F68">
        <w:rPr>
          <w:szCs w:val="22"/>
          <w:lang w:eastAsia="zh-CN"/>
        </w:rPr>
        <w:t>2.129</w:t>
      </w:r>
      <w:r w:rsidRPr="008C2F68">
        <w:rPr>
          <w:rFonts w:hint="eastAsia"/>
          <w:szCs w:val="22"/>
          <w:lang w:eastAsia="zh-CN"/>
        </w:rPr>
        <w:t xml:space="preserve"> million, an increase</w:t>
      </w:r>
      <w:r w:rsidRPr="008C2F68">
        <w:rPr>
          <w:szCs w:val="22"/>
          <w:lang w:eastAsia="zh-CN"/>
        </w:rPr>
        <w:t xml:space="preserve"> of</w:t>
      </w:r>
      <w:r w:rsidRPr="008C2F68">
        <w:rPr>
          <w:rFonts w:hint="eastAsia"/>
          <w:szCs w:val="22"/>
          <w:lang w:eastAsia="zh-CN"/>
        </w:rPr>
        <w:t xml:space="preserve"> RM</w:t>
      </w:r>
      <w:r w:rsidR="00E53D88" w:rsidRPr="008C2F68">
        <w:rPr>
          <w:szCs w:val="22"/>
          <w:lang w:eastAsia="zh-CN"/>
        </w:rPr>
        <w:t>0</w:t>
      </w:r>
      <w:r w:rsidR="00034CA1" w:rsidRPr="008C2F68">
        <w:rPr>
          <w:szCs w:val="22"/>
          <w:lang w:eastAsia="zh-CN"/>
        </w:rPr>
        <w:t>.</w:t>
      </w:r>
      <w:r w:rsidR="00E53D88" w:rsidRPr="008C2F68">
        <w:rPr>
          <w:szCs w:val="22"/>
          <w:lang w:eastAsia="zh-CN"/>
        </w:rPr>
        <w:t>411</w:t>
      </w:r>
      <w:r w:rsidRPr="008C2F68">
        <w:rPr>
          <w:rFonts w:hint="eastAsia"/>
          <w:szCs w:val="22"/>
          <w:lang w:eastAsia="zh-CN"/>
        </w:rPr>
        <w:t xml:space="preserve"> million or </w:t>
      </w:r>
      <w:r w:rsidR="00E53D88" w:rsidRPr="008C2F68">
        <w:rPr>
          <w:szCs w:val="22"/>
          <w:lang w:eastAsia="zh-CN"/>
        </w:rPr>
        <w:t>1.</w:t>
      </w:r>
      <w:r w:rsidR="008D4946" w:rsidRPr="008C2F68">
        <w:rPr>
          <w:szCs w:val="22"/>
          <w:lang w:eastAsia="zh-CN"/>
        </w:rPr>
        <w:t>30</w:t>
      </w:r>
      <w:r w:rsidRPr="008C2F68">
        <w:rPr>
          <w:rFonts w:hint="eastAsia"/>
          <w:szCs w:val="22"/>
          <w:lang w:eastAsia="zh-CN"/>
        </w:rPr>
        <w:t>%</w:t>
      </w:r>
      <w:r w:rsidRPr="008C2F68">
        <w:rPr>
          <w:szCs w:val="22"/>
          <w:lang w:eastAsia="zh-CN"/>
        </w:rPr>
        <w:t xml:space="preserve"> as compared to revenue of</w:t>
      </w:r>
      <w:r w:rsidRPr="008C2F68">
        <w:rPr>
          <w:rFonts w:hint="eastAsia"/>
          <w:szCs w:val="22"/>
          <w:lang w:eastAsia="zh-CN"/>
        </w:rPr>
        <w:t xml:space="preserve"> RM</w:t>
      </w:r>
      <w:r w:rsidR="00E87844" w:rsidRPr="008C2F68">
        <w:rPr>
          <w:szCs w:val="22"/>
          <w:lang w:eastAsia="zh-CN"/>
        </w:rPr>
        <w:t>3</w:t>
      </w:r>
      <w:r w:rsidR="00E53D88" w:rsidRPr="008C2F68">
        <w:rPr>
          <w:szCs w:val="22"/>
          <w:lang w:eastAsia="zh-CN"/>
        </w:rPr>
        <w:t>1.718</w:t>
      </w:r>
      <w:r w:rsidRPr="008C2F68">
        <w:rPr>
          <w:rFonts w:hint="eastAsia"/>
          <w:szCs w:val="22"/>
          <w:lang w:eastAsia="zh-CN"/>
        </w:rPr>
        <w:t xml:space="preserve"> million</w:t>
      </w:r>
      <w:r w:rsidRPr="008C2F68">
        <w:rPr>
          <w:szCs w:val="22"/>
          <w:lang w:eastAsia="zh-CN"/>
        </w:rPr>
        <w:t xml:space="preserve"> recorded</w:t>
      </w:r>
      <w:r w:rsidRPr="008C2F68">
        <w:rPr>
          <w:rFonts w:hint="eastAsia"/>
          <w:szCs w:val="22"/>
          <w:lang w:eastAsia="zh-CN"/>
        </w:rPr>
        <w:t xml:space="preserve"> for the </w:t>
      </w:r>
      <w:r w:rsidRPr="008C2F68">
        <w:rPr>
          <w:szCs w:val="22"/>
          <w:lang w:eastAsia="zh-CN"/>
        </w:rPr>
        <w:t>corresponding</w:t>
      </w:r>
      <w:r w:rsidRPr="008C2F68">
        <w:rPr>
          <w:rFonts w:hint="eastAsia"/>
          <w:szCs w:val="22"/>
          <w:lang w:eastAsia="zh-CN"/>
        </w:rPr>
        <w:t xml:space="preserve"> quarter ended </w:t>
      </w:r>
      <w:r w:rsidRPr="008C2F68">
        <w:rPr>
          <w:szCs w:val="22"/>
          <w:lang w:eastAsia="zh-CN"/>
        </w:rPr>
        <w:t>3</w:t>
      </w:r>
      <w:r w:rsidR="00E87844" w:rsidRPr="008C2F68">
        <w:rPr>
          <w:szCs w:val="22"/>
          <w:lang w:eastAsia="zh-CN"/>
        </w:rPr>
        <w:t>0</w:t>
      </w:r>
      <w:r w:rsidR="00E53D88" w:rsidRPr="008C2F68">
        <w:rPr>
          <w:szCs w:val="22"/>
          <w:lang w:eastAsia="zh-CN"/>
        </w:rPr>
        <w:t xml:space="preserve"> September</w:t>
      </w:r>
      <w:r w:rsidR="00034CA1" w:rsidRPr="008C2F68">
        <w:rPr>
          <w:szCs w:val="22"/>
          <w:lang w:eastAsia="zh-CN"/>
        </w:rPr>
        <w:t xml:space="preserve"> 2012</w:t>
      </w:r>
      <w:r w:rsidRPr="008C2F68">
        <w:rPr>
          <w:rFonts w:hint="eastAsia"/>
          <w:szCs w:val="22"/>
          <w:lang w:eastAsia="zh-CN"/>
        </w:rPr>
        <w:t xml:space="preserve">. The higher revenue was due mainly to the </w:t>
      </w:r>
      <w:r w:rsidR="009B3ACD" w:rsidRPr="008C2F68">
        <w:rPr>
          <w:szCs w:val="22"/>
          <w:lang w:eastAsia="zh-CN"/>
        </w:rPr>
        <w:t xml:space="preserve">increase </w:t>
      </w:r>
      <w:r w:rsidRPr="008C2F68">
        <w:rPr>
          <w:rFonts w:hint="eastAsia"/>
          <w:szCs w:val="22"/>
          <w:lang w:eastAsia="zh-CN"/>
        </w:rPr>
        <w:t xml:space="preserve">in sales volume </w:t>
      </w:r>
      <w:r w:rsidR="009B3ACD" w:rsidRPr="008C2F68">
        <w:t>during the current financial quarter despite the decrease in</w:t>
      </w:r>
      <w:r w:rsidR="009B3ACD" w:rsidRPr="008C2F68" w:rsidDel="009B3ACD">
        <w:rPr>
          <w:szCs w:val="22"/>
          <w:lang w:eastAsia="zh-CN"/>
        </w:rPr>
        <w:t xml:space="preserve"> </w:t>
      </w:r>
      <w:r w:rsidR="00D66FD8" w:rsidRPr="008C2F68">
        <w:rPr>
          <w:rFonts w:hint="eastAsia"/>
          <w:szCs w:val="22"/>
          <w:lang w:eastAsia="zh-CN"/>
        </w:rPr>
        <w:t xml:space="preserve">selling price </w:t>
      </w:r>
      <w:r w:rsidRPr="008C2F68">
        <w:rPr>
          <w:szCs w:val="22"/>
          <w:lang w:eastAsia="zh-CN"/>
        </w:rPr>
        <w:t>for</w:t>
      </w:r>
      <w:r w:rsidRPr="008C2F68">
        <w:rPr>
          <w:rFonts w:hint="eastAsia"/>
          <w:szCs w:val="22"/>
          <w:lang w:eastAsia="zh-CN"/>
        </w:rPr>
        <w:t xml:space="preserve"> </w:t>
      </w:r>
      <w:r w:rsidRPr="008C2F68">
        <w:rPr>
          <w:szCs w:val="22"/>
          <w:lang w:eastAsia="zh-CN"/>
        </w:rPr>
        <w:t>polymeric</w:t>
      </w:r>
      <w:r w:rsidR="00D66FD8" w:rsidRPr="008C2F68">
        <w:rPr>
          <w:rFonts w:hint="eastAsia"/>
          <w:szCs w:val="22"/>
          <w:lang w:eastAsia="zh-CN"/>
        </w:rPr>
        <w:t xml:space="preserve"> products.</w:t>
      </w:r>
      <w:r w:rsidRPr="008C2F68">
        <w:rPr>
          <w:rFonts w:hint="eastAsia"/>
          <w:szCs w:val="22"/>
          <w:lang w:eastAsia="zh-CN"/>
        </w:rPr>
        <w:t xml:space="preserve"> </w:t>
      </w:r>
    </w:p>
    <w:p w:rsidR="005B5743" w:rsidRPr="008C2F68" w:rsidRDefault="005B5743" w:rsidP="005B5743">
      <w:pPr>
        <w:pStyle w:val="BodyText"/>
        <w:spacing w:line="235" w:lineRule="auto"/>
        <w:ind w:left="720"/>
        <w:rPr>
          <w:szCs w:val="22"/>
          <w:lang w:eastAsia="zh-CN"/>
        </w:rPr>
      </w:pPr>
    </w:p>
    <w:p w:rsidR="005B5743" w:rsidRPr="008C2F68" w:rsidRDefault="005B5743" w:rsidP="005B5743">
      <w:pPr>
        <w:pStyle w:val="BodyText"/>
        <w:spacing w:line="235" w:lineRule="auto"/>
        <w:ind w:left="720"/>
        <w:rPr>
          <w:szCs w:val="22"/>
          <w:lang w:eastAsia="zh-CN"/>
        </w:rPr>
      </w:pPr>
      <w:r w:rsidRPr="008C2F68">
        <w:rPr>
          <w:szCs w:val="22"/>
          <w:lang w:eastAsia="zh-CN"/>
        </w:rPr>
        <w:t>T</w:t>
      </w:r>
      <w:r w:rsidRPr="008C2F68">
        <w:rPr>
          <w:rFonts w:hint="eastAsia"/>
          <w:szCs w:val="22"/>
          <w:lang w:eastAsia="zh-CN"/>
        </w:rPr>
        <w:t>he Group</w:t>
      </w:r>
      <w:r w:rsidRPr="008C2F68">
        <w:rPr>
          <w:szCs w:val="22"/>
          <w:lang w:eastAsia="zh-CN"/>
        </w:rPr>
        <w:t>’</w:t>
      </w:r>
      <w:r w:rsidRPr="008C2F68">
        <w:rPr>
          <w:rFonts w:hint="eastAsia"/>
          <w:szCs w:val="22"/>
          <w:lang w:eastAsia="zh-CN"/>
        </w:rPr>
        <w:t>s profit before tax</w:t>
      </w:r>
      <w:r w:rsidR="00157179" w:rsidRPr="008C2F68">
        <w:rPr>
          <w:szCs w:val="22"/>
          <w:lang w:eastAsia="zh-CN"/>
        </w:rPr>
        <w:t xml:space="preserve"> for the quarter ended 3</w:t>
      </w:r>
      <w:r w:rsidR="00231435" w:rsidRPr="008C2F68">
        <w:rPr>
          <w:szCs w:val="22"/>
          <w:lang w:eastAsia="zh-CN"/>
        </w:rPr>
        <w:t>0</w:t>
      </w:r>
      <w:r w:rsidR="00157179" w:rsidRPr="008C2F68">
        <w:rPr>
          <w:szCs w:val="22"/>
          <w:lang w:eastAsia="zh-CN"/>
        </w:rPr>
        <w:t xml:space="preserve"> </w:t>
      </w:r>
      <w:r w:rsidR="00E53D88" w:rsidRPr="008C2F68">
        <w:rPr>
          <w:szCs w:val="22"/>
          <w:lang w:eastAsia="zh-CN"/>
        </w:rPr>
        <w:t>September</w:t>
      </w:r>
      <w:r w:rsidR="00034CA1" w:rsidRPr="008C2F68">
        <w:rPr>
          <w:szCs w:val="22"/>
          <w:lang w:eastAsia="zh-CN"/>
        </w:rPr>
        <w:t xml:space="preserve"> 2013</w:t>
      </w:r>
      <w:r w:rsidRPr="008C2F68">
        <w:rPr>
          <w:rFonts w:hint="eastAsia"/>
          <w:szCs w:val="22"/>
          <w:lang w:eastAsia="zh-CN"/>
        </w:rPr>
        <w:t xml:space="preserve"> had </w:t>
      </w:r>
      <w:r w:rsidRPr="008C2F68">
        <w:rPr>
          <w:szCs w:val="22"/>
          <w:lang w:eastAsia="zh-CN"/>
        </w:rPr>
        <w:t>correspondingly</w:t>
      </w:r>
      <w:r w:rsidRPr="008C2F68">
        <w:rPr>
          <w:rFonts w:hint="eastAsia"/>
          <w:szCs w:val="22"/>
          <w:lang w:eastAsia="zh-CN"/>
        </w:rPr>
        <w:t xml:space="preserve"> increased </w:t>
      </w:r>
      <w:r w:rsidR="00CD2EAE" w:rsidRPr="008C2F68">
        <w:rPr>
          <w:szCs w:val="22"/>
          <w:lang w:eastAsia="zh-CN"/>
        </w:rPr>
        <w:t>to</w:t>
      </w:r>
      <w:r w:rsidR="00D66FD8" w:rsidRPr="008C2F68">
        <w:rPr>
          <w:rFonts w:hint="eastAsia"/>
          <w:szCs w:val="22"/>
          <w:lang w:eastAsia="zh-CN"/>
        </w:rPr>
        <w:t xml:space="preserve"> RM</w:t>
      </w:r>
      <w:r w:rsidR="00231435" w:rsidRPr="008C2F68">
        <w:rPr>
          <w:szCs w:val="22"/>
          <w:lang w:eastAsia="zh-CN"/>
        </w:rPr>
        <w:t>2</w:t>
      </w:r>
      <w:r w:rsidR="00D66FD8" w:rsidRPr="008C2F68">
        <w:rPr>
          <w:rFonts w:hint="eastAsia"/>
          <w:szCs w:val="22"/>
          <w:lang w:eastAsia="zh-CN"/>
        </w:rPr>
        <w:t>.</w:t>
      </w:r>
      <w:r w:rsidR="00E53D88" w:rsidRPr="008C2F68">
        <w:rPr>
          <w:szCs w:val="22"/>
          <w:lang w:eastAsia="zh-CN"/>
        </w:rPr>
        <w:t>899</w:t>
      </w:r>
      <w:r w:rsidR="00D66FD8" w:rsidRPr="008C2F68">
        <w:rPr>
          <w:rFonts w:hint="eastAsia"/>
          <w:szCs w:val="22"/>
          <w:lang w:eastAsia="zh-CN"/>
        </w:rPr>
        <w:t xml:space="preserve"> million or </w:t>
      </w:r>
      <w:r w:rsidR="00CD2EAE" w:rsidRPr="008C2F68">
        <w:rPr>
          <w:szCs w:val="22"/>
          <w:lang w:eastAsia="zh-CN"/>
        </w:rPr>
        <w:t xml:space="preserve">an increase of </w:t>
      </w:r>
      <w:r w:rsidR="00E53D88" w:rsidRPr="008C2F68">
        <w:rPr>
          <w:szCs w:val="22"/>
          <w:lang w:eastAsia="zh-CN"/>
        </w:rPr>
        <w:t>2.0</w:t>
      </w:r>
      <w:r w:rsidR="008D4946" w:rsidRPr="008C2F68">
        <w:rPr>
          <w:szCs w:val="22"/>
          <w:lang w:eastAsia="zh-CN"/>
        </w:rPr>
        <w:t>1</w:t>
      </w:r>
      <w:r w:rsidR="00D66FD8" w:rsidRPr="008C2F68">
        <w:rPr>
          <w:rFonts w:hint="eastAsia"/>
          <w:szCs w:val="22"/>
          <w:lang w:eastAsia="zh-CN"/>
        </w:rPr>
        <w:t>%</w:t>
      </w:r>
      <w:r w:rsidRPr="008C2F68">
        <w:rPr>
          <w:rFonts w:hint="eastAsia"/>
          <w:szCs w:val="22"/>
          <w:lang w:eastAsia="zh-CN"/>
        </w:rPr>
        <w:t xml:space="preserve"> as compared to the profit before tax of RM</w:t>
      </w:r>
      <w:r w:rsidRPr="008C2F68">
        <w:rPr>
          <w:szCs w:val="22"/>
          <w:lang w:eastAsia="zh-CN"/>
        </w:rPr>
        <w:t>2.</w:t>
      </w:r>
      <w:r w:rsidR="00E53D88" w:rsidRPr="008C2F68">
        <w:rPr>
          <w:szCs w:val="22"/>
          <w:lang w:eastAsia="zh-CN"/>
        </w:rPr>
        <w:t>842</w:t>
      </w:r>
      <w:r w:rsidRPr="008C2F68">
        <w:rPr>
          <w:rFonts w:hint="eastAsia"/>
          <w:szCs w:val="22"/>
          <w:lang w:eastAsia="zh-CN"/>
        </w:rPr>
        <w:t xml:space="preserve"> million recorded in the preceding financial year corresponding period</w:t>
      </w:r>
      <w:r w:rsidR="009B3ACD" w:rsidRPr="008C2F68">
        <w:rPr>
          <w:szCs w:val="22"/>
          <w:lang w:eastAsia="zh-CN"/>
        </w:rPr>
        <w:t>. This was d</w:t>
      </w:r>
      <w:r w:rsidRPr="008C2F68">
        <w:rPr>
          <w:szCs w:val="22"/>
          <w:lang w:eastAsia="zh-CN"/>
        </w:rPr>
        <w:t>ue to the increase in revenue</w:t>
      </w:r>
      <w:r w:rsidR="00814ED4" w:rsidRPr="008C2F68">
        <w:rPr>
          <w:rFonts w:hint="eastAsia"/>
          <w:szCs w:val="22"/>
          <w:lang w:eastAsia="zh-CN"/>
        </w:rPr>
        <w:t xml:space="preserve"> and </w:t>
      </w:r>
      <w:r w:rsidR="00D95CD0" w:rsidRPr="008C2F68">
        <w:rPr>
          <w:szCs w:val="22"/>
          <w:lang w:eastAsia="zh-CN"/>
        </w:rPr>
        <w:t xml:space="preserve">slight </w:t>
      </w:r>
      <w:r w:rsidR="005066C1" w:rsidRPr="008C2F68">
        <w:rPr>
          <w:rFonts w:hint="eastAsia"/>
          <w:szCs w:val="22"/>
          <w:lang w:eastAsia="zh-CN"/>
        </w:rPr>
        <w:t>imp</w:t>
      </w:r>
      <w:r w:rsidR="00AC27EC" w:rsidRPr="008C2F68">
        <w:rPr>
          <w:rFonts w:hint="eastAsia"/>
          <w:szCs w:val="22"/>
          <w:lang w:eastAsia="zh-CN"/>
        </w:rPr>
        <w:t>rovement in gross profit margin</w:t>
      </w:r>
      <w:r w:rsidR="008E3463" w:rsidRPr="008C2F68">
        <w:rPr>
          <w:szCs w:val="22"/>
          <w:lang w:eastAsia="zh-CN"/>
        </w:rPr>
        <w:t>.</w:t>
      </w:r>
      <w:r w:rsidR="009B3ACD" w:rsidRPr="008C2F68">
        <w:rPr>
          <w:szCs w:val="22"/>
          <w:lang w:eastAsia="zh-CN"/>
        </w:rPr>
        <w:t xml:space="preserve"> </w:t>
      </w:r>
    </w:p>
    <w:p w:rsidR="005B5743" w:rsidRPr="008C2F68" w:rsidRDefault="005B5743" w:rsidP="005B5743">
      <w:pPr>
        <w:pStyle w:val="BodyText"/>
        <w:spacing w:line="235" w:lineRule="auto"/>
        <w:ind w:left="720"/>
        <w:rPr>
          <w:szCs w:val="22"/>
          <w:lang w:eastAsia="zh-CN"/>
        </w:rPr>
      </w:pPr>
    </w:p>
    <w:p w:rsidR="005B5743" w:rsidRPr="008C2F68" w:rsidRDefault="005B5743" w:rsidP="005B5743">
      <w:pPr>
        <w:pStyle w:val="BodyText"/>
        <w:spacing w:line="235" w:lineRule="auto"/>
        <w:ind w:left="720"/>
        <w:rPr>
          <w:szCs w:val="22"/>
          <w:lang w:eastAsia="zh-CN"/>
        </w:rPr>
      </w:pPr>
      <w:r w:rsidRPr="008C2F68">
        <w:rPr>
          <w:rFonts w:hint="eastAsia"/>
          <w:szCs w:val="22"/>
          <w:lang w:eastAsia="zh-CN"/>
        </w:rPr>
        <w:t xml:space="preserve">Performance of the respective </w:t>
      </w:r>
      <w:r w:rsidRPr="008C2F68">
        <w:rPr>
          <w:szCs w:val="22"/>
          <w:lang w:eastAsia="zh-CN"/>
        </w:rPr>
        <w:t>operating</w:t>
      </w:r>
      <w:r w:rsidRPr="008C2F68">
        <w:rPr>
          <w:rFonts w:hint="eastAsia"/>
          <w:szCs w:val="22"/>
          <w:lang w:eastAsia="zh-CN"/>
        </w:rPr>
        <w:t xml:space="preserve"> business segments for the </w:t>
      </w:r>
      <w:r w:rsidRPr="008C2F68">
        <w:rPr>
          <w:szCs w:val="22"/>
          <w:lang w:eastAsia="zh-CN"/>
        </w:rPr>
        <w:t>current financial quarter</w:t>
      </w:r>
      <w:r w:rsidRPr="008C2F68">
        <w:rPr>
          <w:rFonts w:hint="eastAsia"/>
          <w:szCs w:val="22"/>
          <w:lang w:eastAsia="zh-CN"/>
        </w:rPr>
        <w:t xml:space="preserve"> as compared to the </w:t>
      </w:r>
      <w:r w:rsidRPr="008C2F68">
        <w:rPr>
          <w:szCs w:val="22"/>
          <w:lang w:eastAsia="zh-CN"/>
        </w:rPr>
        <w:t>previous year corresponding quarter</w:t>
      </w:r>
      <w:r w:rsidRPr="008C2F68">
        <w:rPr>
          <w:rFonts w:hint="eastAsia"/>
          <w:szCs w:val="22"/>
          <w:lang w:eastAsia="zh-CN"/>
        </w:rPr>
        <w:t xml:space="preserve"> is </w:t>
      </w:r>
      <w:proofErr w:type="spellStart"/>
      <w:r w:rsidRPr="008C2F68">
        <w:rPr>
          <w:rFonts w:hint="eastAsia"/>
          <w:szCs w:val="22"/>
          <w:lang w:eastAsia="zh-CN"/>
        </w:rPr>
        <w:t>analysed</w:t>
      </w:r>
      <w:proofErr w:type="spellEnd"/>
      <w:r w:rsidRPr="008C2F68">
        <w:rPr>
          <w:rFonts w:hint="eastAsia"/>
          <w:szCs w:val="22"/>
          <w:lang w:eastAsia="zh-CN"/>
        </w:rPr>
        <w:t xml:space="preserve"> as follow</w:t>
      </w:r>
      <w:r w:rsidRPr="008C2F68">
        <w:rPr>
          <w:szCs w:val="22"/>
          <w:lang w:eastAsia="zh-CN"/>
        </w:rPr>
        <w:t>s</w:t>
      </w:r>
      <w:r w:rsidRPr="008C2F68">
        <w:rPr>
          <w:rFonts w:hint="eastAsia"/>
          <w:szCs w:val="22"/>
          <w:lang w:eastAsia="zh-CN"/>
        </w:rPr>
        <w:t>:</w:t>
      </w:r>
    </w:p>
    <w:p w:rsidR="005B5743" w:rsidRPr="008C2F68" w:rsidRDefault="005B5743" w:rsidP="005B5743">
      <w:pPr>
        <w:pStyle w:val="BodyText"/>
        <w:spacing w:line="235" w:lineRule="auto"/>
        <w:ind w:left="720"/>
        <w:rPr>
          <w:szCs w:val="22"/>
          <w:lang w:eastAsia="zh-CN"/>
        </w:rPr>
      </w:pPr>
    </w:p>
    <w:p w:rsidR="005B5743" w:rsidRPr="008C2F68" w:rsidRDefault="005B5743" w:rsidP="005B5743">
      <w:pPr>
        <w:pStyle w:val="BlockText"/>
        <w:tabs>
          <w:tab w:val="left" w:pos="720"/>
          <w:tab w:val="left" w:pos="7470"/>
        </w:tabs>
        <w:ind w:left="720" w:right="0"/>
        <w:rPr>
          <w:sz w:val="22"/>
          <w:szCs w:val="22"/>
          <w:u w:val="single"/>
          <w:lang w:eastAsia="zh-CN"/>
        </w:rPr>
      </w:pPr>
      <w:r w:rsidRPr="008C2F68">
        <w:rPr>
          <w:rFonts w:hint="eastAsia"/>
          <w:sz w:val="22"/>
          <w:szCs w:val="22"/>
          <w:u w:val="single"/>
          <w:lang w:eastAsia="zh-CN"/>
        </w:rPr>
        <w:t>Polymeric division</w:t>
      </w:r>
    </w:p>
    <w:p w:rsidR="005B5743" w:rsidRPr="008C2F68" w:rsidRDefault="005B5743" w:rsidP="005B5743">
      <w:pPr>
        <w:pStyle w:val="BlockText"/>
        <w:tabs>
          <w:tab w:val="left" w:pos="720"/>
          <w:tab w:val="left" w:pos="7470"/>
        </w:tabs>
        <w:ind w:left="720" w:right="0"/>
        <w:rPr>
          <w:sz w:val="22"/>
          <w:szCs w:val="22"/>
          <w:lang w:eastAsia="zh-CN"/>
        </w:rPr>
      </w:pPr>
      <w:r w:rsidRPr="008C2F68">
        <w:rPr>
          <w:rFonts w:hint="eastAsia"/>
          <w:sz w:val="22"/>
          <w:szCs w:val="22"/>
          <w:lang w:eastAsia="zh-CN"/>
        </w:rPr>
        <w:t>The revenue of polymeric division had increased by RM</w:t>
      </w:r>
      <w:r w:rsidR="00231435" w:rsidRPr="008C2F68">
        <w:rPr>
          <w:sz w:val="22"/>
          <w:szCs w:val="22"/>
          <w:lang w:eastAsia="zh-CN"/>
        </w:rPr>
        <w:t>3</w:t>
      </w:r>
      <w:r w:rsidRPr="008C2F68">
        <w:rPr>
          <w:sz w:val="22"/>
          <w:szCs w:val="22"/>
          <w:lang w:eastAsia="zh-CN"/>
        </w:rPr>
        <w:t>.</w:t>
      </w:r>
      <w:r w:rsidR="00BF4C81" w:rsidRPr="008C2F68">
        <w:rPr>
          <w:sz w:val="22"/>
          <w:szCs w:val="22"/>
          <w:lang w:eastAsia="zh-CN"/>
        </w:rPr>
        <w:t>300</w:t>
      </w:r>
      <w:r w:rsidRPr="008C2F68">
        <w:rPr>
          <w:rFonts w:hint="eastAsia"/>
          <w:sz w:val="22"/>
          <w:szCs w:val="22"/>
          <w:lang w:eastAsia="zh-CN"/>
        </w:rPr>
        <w:t xml:space="preserve"> million, which was contributed </w:t>
      </w:r>
      <w:r w:rsidRPr="008C2F68">
        <w:rPr>
          <w:sz w:val="22"/>
          <w:szCs w:val="22"/>
          <w:lang w:eastAsia="zh-CN"/>
        </w:rPr>
        <w:t xml:space="preserve">mainly </w:t>
      </w:r>
      <w:r w:rsidRPr="008C2F68">
        <w:rPr>
          <w:rFonts w:hint="eastAsia"/>
          <w:sz w:val="22"/>
          <w:szCs w:val="22"/>
          <w:lang w:eastAsia="zh-CN"/>
        </w:rPr>
        <w:t xml:space="preserve">by the increase in </w:t>
      </w:r>
      <w:r w:rsidRPr="008C2F68">
        <w:rPr>
          <w:sz w:val="22"/>
          <w:szCs w:val="22"/>
          <w:lang w:eastAsia="zh-CN"/>
        </w:rPr>
        <w:t xml:space="preserve">sales </w:t>
      </w:r>
      <w:r w:rsidRPr="008C2F68">
        <w:rPr>
          <w:rFonts w:hint="eastAsia"/>
          <w:sz w:val="22"/>
          <w:szCs w:val="22"/>
          <w:lang w:eastAsia="zh-CN"/>
        </w:rPr>
        <w:t xml:space="preserve">volume </w:t>
      </w:r>
      <w:r w:rsidR="009B3ACD" w:rsidRPr="008C2F68">
        <w:rPr>
          <w:sz w:val="22"/>
          <w:szCs w:val="22"/>
          <w:lang w:eastAsia="zh-CN"/>
        </w:rPr>
        <w:t xml:space="preserve">of polymeric products </w:t>
      </w:r>
      <w:r w:rsidR="00F60BF7" w:rsidRPr="008C2F68">
        <w:rPr>
          <w:rFonts w:hint="eastAsia"/>
          <w:sz w:val="22"/>
          <w:szCs w:val="22"/>
          <w:lang w:eastAsia="zh-CN"/>
        </w:rPr>
        <w:t>by 1,</w:t>
      </w:r>
      <w:r w:rsidR="00D95CD0" w:rsidRPr="008C2F68">
        <w:rPr>
          <w:sz w:val="22"/>
          <w:szCs w:val="22"/>
          <w:lang w:eastAsia="zh-CN"/>
        </w:rPr>
        <w:t>1</w:t>
      </w:r>
      <w:r w:rsidR="00BF4C81" w:rsidRPr="008C2F68">
        <w:rPr>
          <w:sz w:val="22"/>
          <w:szCs w:val="22"/>
          <w:lang w:eastAsia="zh-CN"/>
        </w:rPr>
        <w:t>17</w:t>
      </w:r>
      <w:r w:rsidR="00F60BF7" w:rsidRPr="008C2F68">
        <w:rPr>
          <w:rFonts w:hint="eastAsia"/>
          <w:sz w:val="22"/>
          <w:szCs w:val="22"/>
          <w:lang w:eastAsia="zh-CN"/>
        </w:rPr>
        <w:t xml:space="preserve"> metric </w:t>
      </w:r>
      <w:proofErr w:type="spellStart"/>
      <w:r w:rsidR="00F60BF7" w:rsidRPr="008C2F68">
        <w:rPr>
          <w:rFonts w:hint="eastAsia"/>
          <w:sz w:val="22"/>
          <w:szCs w:val="22"/>
          <w:lang w:eastAsia="zh-CN"/>
        </w:rPr>
        <w:t>tonnes</w:t>
      </w:r>
      <w:proofErr w:type="spellEnd"/>
      <w:r w:rsidR="0079493E" w:rsidRPr="008C2F68">
        <w:rPr>
          <w:sz w:val="22"/>
          <w:szCs w:val="22"/>
          <w:lang w:eastAsia="zh-CN"/>
        </w:rPr>
        <w:t xml:space="preserve">. </w:t>
      </w:r>
      <w:r w:rsidRPr="008C2F68">
        <w:rPr>
          <w:rFonts w:hint="eastAsia"/>
          <w:sz w:val="22"/>
          <w:szCs w:val="22"/>
          <w:lang w:eastAsia="zh-CN"/>
        </w:rPr>
        <w:t xml:space="preserve">Similarly, the profit before tax </w:t>
      </w:r>
      <w:r w:rsidRPr="008C2F68">
        <w:rPr>
          <w:sz w:val="22"/>
          <w:szCs w:val="22"/>
          <w:lang w:eastAsia="zh-CN"/>
        </w:rPr>
        <w:t>has</w:t>
      </w:r>
      <w:r w:rsidRPr="008C2F68">
        <w:rPr>
          <w:rFonts w:hint="eastAsia"/>
          <w:sz w:val="22"/>
          <w:szCs w:val="22"/>
          <w:lang w:eastAsia="zh-CN"/>
        </w:rPr>
        <w:t xml:space="preserve"> also increased by RM</w:t>
      </w:r>
      <w:r w:rsidR="00231435" w:rsidRPr="008C2F68">
        <w:rPr>
          <w:sz w:val="22"/>
          <w:szCs w:val="22"/>
          <w:lang w:eastAsia="zh-CN"/>
        </w:rPr>
        <w:t>0</w:t>
      </w:r>
      <w:r w:rsidR="001C0231" w:rsidRPr="008C2F68">
        <w:rPr>
          <w:sz w:val="22"/>
          <w:szCs w:val="22"/>
          <w:lang w:eastAsia="zh-CN"/>
        </w:rPr>
        <w:t>.</w:t>
      </w:r>
      <w:r w:rsidR="00E50A75" w:rsidRPr="008C2F68">
        <w:rPr>
          <w:sz w:val="22"/>
          <w:szCs w:val="22"/>
          <w:lang w:eastAsia="zh-CN"/>
        </w:rPr>
        <w:t>535</w:t>
      </w:r>
      <w:r w:rsidR="000D660A" w:rsidRPr="008C2F68">
        <w:rPr>
          <w:sz w:val="22"/>
          <w:szCs w:val="22"/>
          <w:lang w:eastAsia="zh-CN"/>
        </w:rPr>
        <w:t xml:space="preserve"> </w:t>
      </w:r>
      <w:r w:rsidRPr="008C2F68">
        <w:rPr>
          <w:rFonts w:hint="eastAsia"/>
          <w:sz w:val="22"/>
          <w:szCs w:val="22"/>
          <w:lang w:eastAsia="zh-CN"/>
        </w:rPr>
        <w:t>million due principally to the increase in revenue</w:t>
      </w:r>
      <w:r w:rsidR="00402CAD" w:rsidRPr="008C2F68">
        <w:rPr>
          <w:sz w:val="22"/>
          <w:szCs w:val="22"/>
          <w:lang w:eastAsia="zh-CN"/>
        </w:rPr>
        <w:t>.</w:t>
      </w:r>
    </w:p>
    <w:p w:rsidR="005B5743" w:rsidRPr="008C2F68" w:rsidRDefault="005B5743" w:rsidP="005B5743">
      <w:pPr>
        <w:pStyle w:val="BlockText"/>
        <w:tabs>
          <w:tab w:val="left" w:pos="720"/>
          <w:tab w:val="left" w:pos="7470"/>
        </w:tabs>
        <w:ind w:left="720" w:right="0"/>
        <w:rPr>
          <w:sz w:val="22"/>
          <w:szCs w:val="22"/>
          <w:lang w:eastAsia="zh-CN"/>
        </w:rPr>
      </w:pPr>
    </w:p>
    <w:p w:rsidR="005B5743" w:rsidRPr="008C2F68" w:rsidRDefault="005B5743" w:rsidP="005B5743">
      <w:pPr>
        <w:pStyle w:val="BlockText"/>
        <w:tabs>
          <w:tab w:val="left" w:pos="720"/>
          <w:tab w:val="left" w:pos="7470"/>
        </w:tabs>
        <w:ind w:left="720" w:right="0"/>
        <w:rPr>
          <w:sz w:val="22"/>
          <w:szCs w:val="22"/>
          <w:u w:val="single"/>
          <w:lang w:eastAsia="zh-CN"/>
        </w:rPr>
      </w:pPr>
      <w:proofErr w:type="spellStart"/>
      <w:r w:rsidRPr="008C2F68">
        <w:rPr>
          <w:rFonts w:hint="eastAsia"/>
          <w:sz w:val="22"/>
          <w:szCs w:val="22"/>
          <w:u w:val="single"/>
          <w:lang w:eastAsia="zh-CN"/>
        </w:rPr>
        <w:t>Oleochemical</w:t>
      </w:r>
      <w:proofErr w:type="spellEnd"/>
      <w:r w:rsidRPr="008C2F68">
        <w:rPr>
          <w:rFonts w:hint="eastAsia"/>
          <w:sz w:val="22"/>
          <w:szCs w:val="22"/>
          <w:u w:val="single"/>
          <w:lang w:eastAsia="zh-CN"/>
        </w:rPr>
        <w:t xml:space="preserve"> division</w:t>
      </w:r>
    </w:p>
    <w:p w:rsidR="00CC1C3F" w:rsidRPr="008C2F68" w:rsidRDefault="005B5743" w:rsidP="005B5743">
      <w:pPr>
        <w:pStyle w:val="BlockText"/>
        <w:tabs>
          <w:tab w:val="left" w:pos="720"/>
          <w:tab w:val="left" w:pos="7470"/>
        </w:tabs>
        <w:ind w:left="720" w:right="0"/>
        <w:rPr>
          <w:sz w:val="22"/>
          <w:szCs w:val="22"/>
          <w:lang w:eastAsia="zh-CN"/>
        </w:rPr>
      </w:pPr>
      <w:r w:rsidRPr="008C2F68">
        <w:rPr>
          <w:rFonts w:hint="eastAsia"/>
          <w:sz w:val="22"/>
          <w:szCs w:val="22"/>
          <w:lang w:eastAsia="zh-CN"/>
        </w:rPr>
        <w:t>The revenue</w:t>
      </w:r>
      <w:r w:rsidR="00402CAD" w:rsidRPr="008C2F68">
        <w:rPr>
          <w:sz w:val="22"/>
          <w:szCs w:val="22"/>
          <w:lang w:eastAsia="zh-CN"/>
        </w:rPr>
        <w:t xml:space="preserve"> and profit before tax </w:t>
      </w:r>
      <w:r w:rsidRPr="008C2F68">
        <w:rPr>
          <w:rFonts w:hint="eastAsia"/>
          <w:sz w:val="22"/>
          <w:szCs w:val="22"/>
          <w:lang w:eastAsia="zh-CN"/>
        </w:rPr>
        <w:t xml:space="preserve">of </w:t>
      </w:r>
      <w:proofErr w:type="spellStart"/>
      <w:r w:rsidRPr="008C2F68">
        <w:rPr>
          <w:rFonts w:hint="eastAsia"/>
          <w:sz w:val="22"/>
          <w:szCs w:val="22"/>
          <w:lang w:eastAsia="zh-CN"/>
        </w:rPr>
        <w:t>oleochemical</w:t>
      </w:r>
      <w:proofErr w:type="spellEnd"/>
      <w:r w:rsidRPr="008C2F68">
        <w:rPr>
          <w:rFonts w:hint="eastAsia"/>
          <w:sz w:val="22"/>
          <w:szCs w:val="22"/>
          <w:lang w:eastAsia="zh-CN"/>
        </w:rPr>
        <w:t xml:space="preserve"> </w:t>
      </w:r>
      <w:r w:rsidRPr="008C2F68">
        <w:rPr>
          <w:sz w:val="22"/>
          <w:szCs w:val="22"/>
          <w:lang w:eastAsia="zh-CN"/>
        </w:rPr>
        <w:t>division</w:t>
      </w:r>
      <w:r w:rsidRPr="008C2F68">
        <w:rPr>
          <w:rFonts w:hint="eastAsia"/>
          <w:sz w:val="22"/>
          <w:szCs w:val="22"/>
          <w:lang w:eastAsia="zh-CN"/>
        </w:rPr>
        <w:t xml:space="preserve"> had </w:t>
      </w:r>
      <w:r w:rsidR="00884A2F" w:rsidRPr="008C2F68">
        <w:rPr>
          <w:sz w:val="22"/>
          <w:szCs w:val="22"/>
          <w:lang w:eastAsia="zh-CN"/>
        </w:rPr>
        <w:t>de</w:t>
      </w:r>
      <w:r w:rsidR="00E60B9B" w:rsidRPr="008C2F68">
        <w:rPr>
          <w:rFonts w:hint="eastAsia"/>
          <w:sz w:val="22"/>
          <w:szCs w:val="22"/>
          <w:lang w:eastAsia="zh-CN"/>
        </w:rPr>
        <w:t>creased</w:t>
      </w:r>
      <w:r w:rsidR="00E60B9B" w:rsidRPr="008C2F68">
        <w:rPr>
          <w:sz w:val="22"/>
          <w:szCs w:val="22"/>
          <w:lang w:eastAsia="zh-CN"/>
        </w:rPr>
        <w:t xml:space="preserve"> </w:t>
      </w:r>
      <w:r w:rsidRPr="008C2F68">
        <w:rPr>
          <w:rFonts w:hint="eastAsia"/>
          <w:sz w:val="22"/>
          <w:szCs w:val="22"/>
          <w:lang w:eastAsia="zh-CN"/>
        </w:rPr>
        <w:t>by RM</w:t>
      </w:r>
      <w:r w:rsidR="00A439EA" w:rsidRPr="008C2F68">
        <w:rPr>
          <w:sz w:val="22"/>
          <w:szCs w:val="22"/>
          <w:lang w:eastAsia="zh-CN"/>
        </w:rPr>
        <w:t>2.</w:t>
      </w:r>
      <w:r w:rsidR="00231435" w:rsidRPr="008C2F68">
        <w:rPr>
          <w:sz w:val="22"/>
          <w:szCs w:val="22"/>
          <w:lang w:eastAsia="zh-CN"/>
        </w:rPr>
        <w:t>8</w:t>
      </w:r>
      <w:r w:rsidR="00A439EA" w:rsidRPr="008C2F68">
        <w:rPr>
          <w:sz w:val="22"/>
          <w:szCs w:val="22"/>
          <w:lang w:eastAsia="zh-CN"/>
        </w:rPr>
        <w:t>37</w:t>
      </w:r>
      <w:r w:rsidRPr="008C2F68">
        <w:rPr>
          <w:rFonts w:hint="eastAsia"/>
          <w:sz w:val="22"/>
          <w:szCs w:val="22"/>
          <w:lang w:eastAsia="zh-CN"/>
        </w:rPr>
        <w:t xml:space="preserve"> million</w:t>
      </w:r>
      <w:r w:rsidR="00F7193D" w:rsidRPr="008C2F68">
        <w:rPr>
          <w:rFonts w:hint="eastAsia"/>
          <w:sz w:val="22"/>
          <w:szCs w:val="22"/>
          <w:lang w:eastAsia="zh-CN"/>
        </w:rPr>
        <w:t xml:space="preserve"> </w:t>
      </w:r>
      <w:r w:rsidR="00402CAD" w:rsidRPr="008C2F68">
        <w:rPr>
          <w:sz w:val="22"/>
          <w:szCs w:val="22"/>
          <w:lang w:eastAsia="zh-CN"/>
        </w:rPr>
        <w:t>and RM0.</w:t>
      </w:r>
      <w:r w:rsidR="00A439EA" w:rsidRPr="008C2F68">
        <w:rPr>
          <w:sz w:val="22"/>
          <w:szCs w:val="22"/>
          <w:lang w:eastAsia="zh-CN"/>
        </w:rPr>
        <w:t>431</w:t>
      </w:r>
      <w:r w:rsidR="00402CAD" w:rsidRPr="008C2F68">
        <w:rPr>
          <w:sz w:val="22"/>
          <w:szCs w:val="22"/>
          <w:lang w:eastAsia="zh-CN"/>
        </w:rPr>
        <w:t xml:space="preserve"> million respectively </w:t>
      </w:r>
      <w:r w:rsidR="00F7193D" w:rsidRPr="008C2F68">
        <w:rPr>
          <w:rFonts w:hint="eastAsia"/>
          <w:sz w:val="22"/>
          <w:szCs w:val="22"/>
          <w:lang w:eastAsia="zh-CN"/>
        </w:rPr>
        <w:t xml:space="preserve">due mainly to the </w:t>
      </w:r>
      <w:r w:rsidR="0001465E" w:rsidRPr="008C2F68">
        <w:rPr>
          <w:rFonts w:hint="eastAsia"/>
          <w:sz w:val="22"/>
          <w:szCs w:val="22"/>
          <w:lang w:eastAsia="zh-CN"/>
        </w:rPr>
        <w:t>decrease in s</w:t>
      </w:r>
      <w:r w:rsidR="008D4946" w:rsidRPr="008C2F68">
        <w:rPr>
          <w:sz w:val="22"/>
          <w:szCs w:val="22"/>
          <w:lang w:eastAsia="zh-CN"/>
        </w:rPr>
        <w:t xml:space="preserve">ales volume </w:t>
      </w:r>
      <w:r w:rsidR="00297FF9" w:rsidRPr="008C2F68">
        <w:rPr>
          <w:sz w:val="22"/>
          <w:szCs w:val="22"/>
          <w:lang w:eastAsia="zh-CN"/>
        </w:rPr>
        <w:t xml:space="preserve">by </w:t>
      </w:r>
      <w:r w:rsidR="00076C26" w:rsidRPr="008C2F68">
        <w:rPr>
          <w:sz w:val="22"/>
          <w:szCs w:val="22"/>
          <w:lang w:eastAsia="zh-CN"/>
        </w:rPr>
        <w:t>538</w:t>
      </w:r>
      <w:r w:rsidR="00297FF9" w:rsidRPr="008C2F68">
        <w:rPr>
          <w:sz w:val="22"/>
          <w:szCs w:val="22"/>
          <w:lang w:eastAsia="zh-CN"/>
        </w:rPr>
        <w:t xml:space="preserve"> metric </w:t>
      </w:r>
      <w:proofErr w:type="spellStart"/>
      <w:r w:rsidR="00297FF9" w:rsidRPr="008C2F68">
        <w:rPr>
          <w:sz w:val="22"/>
          <w:szCs w:val="22"/>
          <w:lang w:eastAsia="zh-CN"/>
        </w:rPr>
        <w:t>tonnes</w:t>
      </w:r>
      <w:proofErr w:type="spellEnd"/>
      <w:r w:rsidR="00297FF9" w:rsidRPr="008C2F68">
        <w:rPr>
          <w:sz w:val="22"/>
          <w:szCs w:val="22"/>
          <w:lang w:eastAsia="zh-CN"/>
        </w:rPr>
        <w:t xml:space="preserve"> </w:t>
      </w:r>
      <w:r w:rsidR="008D4946" w:rsidRPr="008C2F68">
        <w:rPr>
          <w:sz w:val="22"/>
          <w:szCs w:val="22"/>
          <w:lang w:eastAsia="zh-CN"/>
        </w:rPr>
        <w:t xml:space="preserve">and </w:t>
      </w:r>
      <w:r w:rsidR="00297FF9" w:rsidRPr="008C2F68">
        <w:rPr>
          <w:sz w:val="22"/>
          <w:szCs w:val="22"/>
          <w:lang w:eastAsia="zh-CN"/>
        </w:rPr>
        <w:t xml:space="preserve">a decrease in </w:t>
      </w:r>
      <w:r w:rsidR="008D4946" w:rsidRPr="008C2F68">
        <w:rPr>
          <w:sz w:val="22"/>
          <w:szCs w:val="22"/>
          <w:lang w:eastAsia="zh-CN"/>
        </w:rPr>
        <w:t xml:space="preserve">selling price of </w:t>
      </w:r>
      <w:proofErr w:type="spellStart"/>
      <w:r w:rsidR="009B3ACD" w:rsidRPr="008C2F68">
        <w:rPr>
          <w:sz w:val="22"/>
          <w:szCs w:val="22"/>
          <w:lang w:eastAsia="zh-CN"/>
        </w:rPr>
        <w:t>oleochemical</w:t>
      </w:r>
      <w:proofErr w:type="spellEnd"/>
      <w:r w:rsidR="009B3ACD" w:rsidRPr="008C2F68">
        <w:rPr>
          <w:sz w:val="22"/>
          <w:szCs w:val="22"/>
          <w:lang w:eastAsia="zh-CN"/>
        </w:rPr>
        <w:t xml:space="preserve"> products</w:t>
      </w:r>
      <w:r w:rsidR="00402CAD" w:rsidRPr="008C2F68">
        <w:rPr>
          <w:sz w:val="22"/>
          <w:szCs w:val="22"/>
          <w:lang w:eastAsia="zh-CN"/>
        </w:rPr>
        <w:t>.</w:t>
      </w:r>
    </w:p>
    <w:p w:rsidR="005B5743" w:rsidRPr="008C2F68" w:rsidRDefault="005B5743" w:rsidP="005B5743">
      <w:pPr>
        <w:pStyle w:val="BlockText"/>
        <w:tabs>
          <w:tab w:val="left" w:pos="720"/>
          <w:tab w:val="left" w:pos="7470"/>
        </w:tabs>
        <w:ind w:left="720" w:right="0"/>
        <w:rPr>
          <w:sz w:val="22"/>
          <w:szCs w:val="22"/>
          <w:lang w:eastAsia="zh-CN"/>
        </w:rPr>
      </w:pPr>
      <w:r w:rsidRPr="008C2F68">
        <w:rPr>
          <w:sz w:val="22"/>
          <w:szCs w:val="22"/>
          <w:lang w:eastAsia="zh-CN"/>
        </w:rPr>
        <w:t xml:space="preserve"> </w:t>
      </w:r>
    </w:p>
    <w:p w:rsidR="005B5743" w:rsidRPr="008C2F68" w:rsidRDefault="005B5743" w:rsidP="005B5743">
      <w:pPr>
        <w:pStyle w:val="BlockText"/>
        <w:tabs>
          <w:tab w:val="left" w:pos="720"/>
          <w:tab w:val="left" w:pos="7470"/>
        </w:tabs>
        <w:ind w:left="720" w:right="0"/>
        <w:rPr>
          <w:sz w:val="22"/>
          <w:szCs w:val="22"/>
          <w:u w:val="single"/>
          <w:lang w:eastAsia="zh-CN"/>
        </w:rPr>
      </w:pPr>
      <w:r w:rsidRPr="008C2F68">
        <w:rPr>
          <w:rFonts w:hint="eastAsia"/>
          <w:sz w:val="22"/>
          <w:szCs w:val="22"/>
          <w:u w:val="single"/>
          <w:lang w:eastAsia="zh-CN"/>
        </w:rPr>
        <w:t>Investment holding</w:t>
      </w:r>
    </w:p>
    <w:p w:rsidR="004C5326" w:rsidRPr="008C2F68" w:rsidRDefault="00190331">
      <w:pPr>
        <w:tabs>
          <w:tab w:val="clear" w:pos="720"/>
          <w:tab w:val="clear" w:pos="1440"/>
        </w:tabs>
        <w:rPr>
          <w:szCs w:val="22"/>
          <w:lang w:eastAsia="zh-CN"/>
        </w:rPr>
      </w:pPr>
      <w:r w:rsidRPr="008C2F68">
        <w:rPr>
          <w:szCs w:val="22"/>
          <w:lang w:eastAsia="zh-CN"/>
        </w:rPr>
        <w:tab/>
        <w:t>No significant changes.</w:t>
      </w:r>
      <w:r w:rsidR="004C5326" w:rsidRPr="008C2F68">
        <w:rPr>
          <w:szCs w:val="22"/>
          <w:lang w:eastAsia="zh-CN"/>
        </w:rPr>
        <w:br w:type="page"/>
      </w:r>
    </w:p>
    <w:p w:rsidR="00172A9A" w:rsidRPr="008C2F68" w:rsidRDefault="00172A9A" w:rsidP="00A47FA3">
      <w:pPr>
        <w:spacing w:line="235" w:lineRule="auto"/>
        <w:jc w:val="both"/>
        <w:rPr>
          <w:b/>
          <w:bCs/>
          <w:szCs w:val="22"/>
        </w:rPr>
      </w:pPr>
    </w:p>
    <w:p w:rsidR="00A47FA3" w:rsidRPr="008C2F68" w:rsidRDefault="00A47FA3" w:rsidP="00A47FA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r w:rsidRPr="008C2F68">
        <w:rPr>
          <w:b/>
          <w:bCs/>
          <w:szCs w:val="22"/>
          <w:lang w:eastAsia="zh-CN"/>
        </w:rPr>
        <w:t>(cont’d)</w:t>
      </w:r>
    </w:p>
    <w:p w:rsidR="008619E8" w:rsidRPr="008C2F68" w:rsidRDefault="008619E8" w:rsidP="005B5743">
      <w:pPr>
        <w:pStyle w:val="BlockText"/>
        <w:tabs>
          <w:tab w:val="left" w:pos="720"/>
          <w:tab w:val="left" w:pos="7470"/>
        </w:tabs>
        <w:ind w:left="720" w:right="0"/>
        <w:rPr>
          <w:sz w:val="22"/>
          <w:szCs w:val="22"/>
          <w:lang w:eastAsia="zh-CN"/>
        </w:rPr>
      </w:pPr>
    </w:p>
    <w:p w:rsidR="004C5326" w:rsidRPr="008C2F68" w:rsidRDefault="004C5326" w:rsidP="004C5326">
      <w:pPr>
        <w:spacing w:line="235" w:lineRule="auto"/>
        <w:ind w:firstLine="720"/>
        <w:jc w:val="both"/>
        <w:rPr>
          <w:b/>
          <w:bCs/>
          <w:szCs w:val="22"/>
          <w:u w:val="single"/>
          <w:lang w:eastAsia="zh-CN"/>
        </w:rPr>
      </w:pPr>
      <w:r w:rsidRPr="008C2F68">
        <w:rPr>
          <w:b/>
          <w:bCs/>
          <w:szCs w:val="22"/>
          <w:u w:val="single"/>
        </w:rPr>
        <w:t xml:space="preserve">Current Financial </w:t>
      </w:r>
      <w:r w:rsidRPr="008C2F68">
        <w:rPr>
          <w:rFonts w:hint="eastAsia"/>
          <w:b/>
          <w:bCs/>
          <w:szCs w:val="22"/>
          <w:u w:val="single"/>
          <w:lang w:eastAsia="zh-CN"/>
        </w:rPr>
        <w:t xml:space="preserve">Period </w:t>
      </w:r>
      <w:r w:rsidRPr="008C2F68">
        <w:rPr>
          <w:b/>
          <w:bCs/>
          <w:szCs w:val="22"/>
          <w:u w:val="single"/>
          <w:lang w:eastAsia="zh-CN"/>
        </w:rPr>
        <w:t>compared with</w:t>
      </w:r>
      <w:r w:rsidRPr="008C2F68">
        <w:rPr>
          <w:rFonts w:hint="eastAsia"/>
          <w:b/>
          <w:bCs/>
          <w:szCs w:val="22"/>
          <w:u w:val="single"/>
          <w:lang w:eastAsia="zh-CN"/>
        </w:rPr>
        <w:t xml:space="preserve"> Previous Year Corresponding Period</w:t>
      </w:r>
    </w:p>
    <w:p w:rsidR="004C5326" w:rsidRPr="008C2F68" w:rsidRDefault="004C5326" w:rsidP="004C5326">
      <w:pPr>
        <w:pStyle w:val="BlockText"/>
        <w:tabs>
          <w:tab w:val="left" w:pos="720"/>
          <w:tab w:val="left" w:pos="7470"/>
        </w:tabs>
        <w:ind w:left="720" w:right="0"/>
        <w:rPr>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4C5326" w:rsidRPr="008C2F68" w:rsidTr="00EA2834">
        <w:tc>
          <w:tcPr>
            <w:tcW w:w="2790" w:type="dxa"/>
            <w:tcBorders>
              <w:top w:val="single" w:sz="4" w:space="0" w:color="auto"/>
              <w:left w:val="single" w:sz="4" w:space="0" w:color="auto"/>
              <w:bottom w:val="nil"/>
              <w:right w:val="single" w:sz="4" w:space="0" w:color="auto"/>
            </w:tcBorders>
            <w:shd w:val="clear" w:color="auto" w:fill="auto"/>
          </w:tcPr>
          <w:p w:rsidR="004C5326" w:rsidRPr="008C2F68" w:rsidRDefault="004C5326" w:rsidP="00EA2834">
            <w:pPr>
              <w:pStyle w:val="BodyText"/>
              <w:spacing w:line="235" w:lineRule="auto"/>
              <w:rPr>
                <w:szCs w:val="22"/>
              </w:rPr>
            </w:pPr>
          </w:p>
        </w:tc>
        <w:tc>
          <w:tcPr>
            <w:tcW w:w="3600" w:type="dxa"/>
            <w:gridSpan w:val="2"/>
            <w:tcBorders>
              <w:left w:val="single" w:sz="4" w:space="0" w:color="auto"/>
            </w:tcBorders>
            <w:shd w:val="clear" w:color="auto" w:fill="auto"/>
          </w:tcPr>
          <w:p w:rsidR="004C5326" w:rsidRPr="008C2F68" w:rsidRDefault="00F5799D" w:rsidP="00EA2834">
            <w:pPr>
              <w:pStyle w:val="BodyText"/>
              <w:spacing w:line="235" w:lineRule="auto"/>
              <w:jc w:val="center"/>
              <w:rPr>
                <w:szCs w:val="22"/>
              </w:rPr>
            </w:pPr>
            <w:r w:rsidRPr="008C2F68">
              <w:rPr>
                <w:b/>
                <w:bCs/>
                <w:szCs w:val="22"/>
              </w:rPr>
              <w:t>9</w:t>
            </w:r>
            <w:r w:rsidR="004C5326" w:rsidRPr="008C2F68">
              <w:rPr>
                <w:b/>
                <w:bCs/>
                <w:szCs w:val="22"/>
              </w:rPr>
              <w:t xml:space="preserve"> Months Ended</w:t>
            </w:r>
          </w:p>
        </w:tc>
        <w:tc>
          <w:tcPr>
            <w:tcW w:w="3062" w:type="dxa"/>
            <w:gridSpan w:val="2"/>
            <w:shd w:val="clear" w:color="auto" w:fill="auto"/>
          </w:tcPr>
          <w:p w:rsidR="004C5326" w:rsidRPr="008C2F68" w:rsidRDefault="004C5326" w:rsidP="00EA2834">
            <w:pPr>
              <w:pStyle w:val="BodyText"/>
              <w:spacing w:line="235" w:lineRule="auto"/>
              <w:jc w:val="center"/>
              <w:rPr>
                <w:b/>
                <w:bCs/>
                <w:szCs w:val="22"/>
              </w:rPr>
            </w:pPr>
            <w:r w:rsidRPr="008C2F68">
              <w:rPr>
                <w:b/>
                <w:bCs/>
                <w:szCs w:val="22"/>
              </w:rPr>
              <w:t>Variance</w:t>
            </w:r>
          </w:p>
        </w:tc>
      </w:tr>
      <w:tr w:rsidR="004C5326" w:rsidRPr="008C2F68" w:rsidTr="00EA2834">
        <w:tc>
          <w:tcPr>
            <w:tcW w:w="2790" w:type="dxa"/>
            <w:tcBorders>
              <w:top w:val="nil"/>
              <w:left w:val="single" w:sz="4" w:space="0" w:color="auto"/>
              <w:bottom w:val="nil"/>
              <w:right w:val="single" w:sz="4" w:space="0" w:color="auto"/>
            </w:tcBorders>
            <w:shd w:val="clear" w:color="auto" w:fill="auto"/>
          </w:tcPr>
          <w:p w:rsidR="004C5326" w:rsidRPr="008C2F68" w:rsidRDefault="004C5326" w:rsidP="00EA2834">
            <w:pPr>
              <w:pStyle w:val="BodyText"/>
              <w:spacing w:line="235" w:lineRule="auto"/>
              <w:rPr>
                <w:szCs w:val="22"/>
              </w:rPr>
            </w:pPr>
          </w:p>
        </w:tc>
        <w:tc>
          <w:tcPr>
            <w:tcW w:w="1710" w:type="dxa"/>
            <w:tcBorders>
              <w:left w:val="single" w:sz="4" w:space="0" w:color="auto"/>
            </w:tcBorders>
            <w:shd w:val="clear" w:color="auto" w:fill="auto"/>
          </w:tcPr>
          <w:p w:rsidR="004C5326" w:rsidRPr="008C2F68" w:rsidRDefault="004C5326" w:rsidP="00BC2A54">
            <w:pPr>
              <w:pStyle w:val="BodyText"/>
              <w:tabs>
                <w:tab w:val="clear" w:pos="1080"/>
              </w:tabs>
              <w:spacing w:line="235" w:lineRule="auto"/>
              <w:jc w:val="center"/>
              <w:rPr>
                <w:b/>
                <w:bCs/>
                <w:szCs w:val="22"/>
                <w:lang w:eastAsia="zh-CN"/>
              </w:rPr>
            </w:pPr>
            <w:r w:rsidRPr="008C2F68">
              <w:rPr>
                <w:rFonts w:hint="eastAsia"/>
                <w:b/>
                <w:bCs/>
                <w:szCs w:val="22"/>
                <w:lang w:eastAsia="zh-CN"/>
              </w:rPr>
              <w:t>30.0</w:t>
            </w:r>
            <w:r w:rsidR="00BC2A54" w:rsidRPr="008C2F68">
              <w:rPr>
                <w:b/>
                <w:bCs/>
                <w:szCs w:val="22"/>
                <w:lang w:eastAsia="zh-CN"/>
              </w:rPr>
              <w:t>9</w:t>
            </w:r>
            <w:r w:rsidRPr="008C2F68">
              <w:rPr>
                <w:rFonts w:hint="eastAsia"/>
                <w:b/>
                <w:bCs/>
                <w:szCs w:val="22"/>
                <w:lang w:eastAsia="zh-CN"/>
              </w:rPr>
              <w:t>.201</w:t>
            </w:r>
            <w:r w:rsidR="00BB27B2" w:rsidRPr="008C2F68">
              <w:rPr>
                <w:b/>
                <w:bCs/>
                <w:szCs w:val="22"/>
                <w:lang w:eastAsia="zh-CN"/>
              </w:rPr>
              <w:t>3</w:t>
            </w:r>
          </w:p>
        </w:tc>
        <w:tc>
          <w:tcPr>
            <w:tcW w:w="1890" w:type="dxa"/>
            <w:shd w:val="clear" w:color="auto" w:fill="auto"/>
          </w:tcPr>
          <w:p w:rsidR="004C5326" w:rsidRPr="008C2F68" w:rsidRDefault="004C5326" w:rsidP="00F5799D">
            <w:pPr>
              <w:pStyle w:val="BodyText"/>
              <w:tabs>
                <w:tab w:val="clear" w:pos="1080"/>
              </w:tabs>
              <w:spacing w:line="235" w:lineRule="auto"/>
              <w:jc w:val="center"/>
              <w:rPr>
                <w:b/>
                <w:bCs/>
                <w:iCs/>
                <w:szCs w:val="22"/>
                <w:lang w:eastAsia="zh-CN"/>
              </w:rPr>
            </w:pPr>
            <w:r w:rsidRPr="008C2F68">
              <w:rPr>
                <w:rFonts w:hint="eastAsia"/>
                <w:b/>
                <w:bCs/>
                <w:szCs w:val="22"/>
                <w:lang w:eastAsia="zh-CN"/>
              </w:rPr>
              <w:t>30.0</w:t>
            </w:r>
            <w:r w:rsidR="00F5799D" w:rsidRPr="008C2F68">
              <w:rPr>
                <w:b/>
                <w:bCs/>
                <w:szCs w:val="22"/>
                <w:lang w:eastAsia="zh-CN"/>
              </w:rPr>
              <w:t>9</w:t>
            </w:r>
            <w:r w:rsidRPr="008C2F68">
              <w:rPr>
                <w:rFonts w:hint="eastAsia"/>
                <w:b/>
                <w:bCs/>
                <w:szCs w:val="22"/>
                <w:lang w:eastAsia="zh-CN"/>
              </w:rPr>
              <w:t>.201</w:t>
            </w:r>
            <w:r w:rsidR="00BB27B2" w:rsidRPr="008C2F68">
              <w:rPr>
                <w:b/>
                <w:bCs/>
                <w:szCs w:val="22"/>
                <w:lang w:eastAsia="zh-CN"/>
              </w:rPr>
              <w:t>2</w:t>
            </w:r>
          </w:p>
        </w:tc>
        <w:tc>
          <w:tcPr>
            <w:tcW w:w="1710" w:type="dxa"/>
            <w:shd w:val="clear" w:color="auto" w:fill="auto"/>
          </w:tcPr>
          <w:p w:rsidR="004C5326" w:rsidRPr="008C2F68" w:rsidRDefault="004C5326" w:rsidP="00EA2834">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4C5326" w:rsidRPr="008C2F68" w:rsidRDefault="004C5326" w:rsidP="00EA2834">
            <w:pPr>
              <w:pStyle w:val="BodyText"/>
              <w:spacing w:line="235" w:lineRule="auto"/>
              <w:jc w:val="center"/>
              <w:rPr>
                <w:b/>
                <w:bCs/>
                <w:iCs/>
                <w:szCs w:val="22"/>
              </w:rPr>
            </w:pPr>
            <w:r w:rsidRPr="008C2F68">
              <w:rPr>
                <w:b/>
                <w:bCs/>
                <w:iCs/>
                <w:szCs w:val="22"/>
              </w:rPr>
              <w:t>%</w:t>
            </w:r>
          </w:p>
        </w:tc>
      </w:tr>
      <w:tr w:rsidR="004C5326" w:rsidRPr="008C2F68" w:rsidTr="00EA2834">
        <w:tc>
          <w:tcPr>
            <w:tcW w:w="2790" w:type="dxa"/>
            <w:tcBorders>
              <w:top w:val="nil"/>
              <w:left w:val="single" w:sz="4" w:space="0" w:color="auto"/>
              <w:bottom w:val="single" w:sz="4" w:space="0" w:color="auto"/>
              <w:right w:val="single" w:sz="4" w:space="0" w:color="auto"/>
            </w:tcBorders>
            <w:shd w:val="clear" w:color="auto" w:fill="auto"/>
          </w:tcPr>
          <w:p w:rsidR="004C5326" w:rsidRPr="008C2F68" w:rsidRDefault="004C5326" w:rsidP="00EA2834">
            <w:pPr>
              <w:pStyle w:val="BodyText"/>
              <w:spacing w:line="235" w:lineRule="auto"/>
              <w:rPr>
                <w:szCs w:val="22"/>
              </w:rPr>
            </w:pPr>
          </w:p>
        </w:tc>
        <w:tc>
          <w:tcPr>
            <w:tcW w:w="1710" w:type="dxa"/>
            <w:tcBorders>
              <w:left w:val="single" w:sz="4" w:space="0" w:color="auto"/>
            </w:tcBorders>
            <w:shd w:val="clear" w:color="auto" w:fill="auto"/>
          </w:tcPr>
          <w:p w:rsidR="004C5326" w:rsidRPr="008C2F68" w:rsidRDefault="004C5326" w:rsidP="00EA2834">
            <w:pPr>
              <w:pStyle w:val="BodyText"/>
              <w:spacing w:line="235" w:lineRule="auto"/>
              <w:jc w:val="center"/>
              <w:rPr>
                <w:b/>
                <w:szCs w:val="22"/>
              </w:rPr>
            </w:pPr>
            <w:r w:rsidRPr="008C2F68">
              <w:rPr>
                <w:b/>
                <w:szCs w:val="22"/>
              </w:rPr>
              <w:t>RM’000</w:t>
            </w:r>
          </w:p>
        </w:tc>
        <w:tc>
          <w:tcPr>
            <w:tcW w:w="1890" w:type="dxa"/>
            <w:shd w:val="clear" w:color="auto" w:fill="auto"/>
          </w:tcPr>
          <w:p w:rsidR="004C5326" w:rsidRPr="008C2F68" w:rsidRDefault="004C5326" w:rsidP="00EA2834">
            <w:pPr>
              <w:pStyle w:val="BodyText"/>
              <w:spacing w:line="235" w:lineRule="auto"/>
              <w:jc w:val="center"/>
              <w:rPr>
                <w:b/>
                <w:szCs w:val="22"/>
              </w:rPr>
            </w:pPr>
            <w:r w:rsidRPr="008C2F68">
              <w:rPr>
                <w:b/>
                <w:szCs w:val="22"/>
              </w:rPr>
              <w:t>RM’000</w:t>
            </w:r>
          </w:p>
        </w:tc>
        <w:tc>
          <w:tcPr>
            <w:tcW w:w="1710" w:type="dxa"/>
            <w:shd w:val="clear" w:color="auto" w:fill="auto"/>
          </w:tcPr>
          <w:p w:rsidR="004C5326" w:rsidRPr="008C2F68" w:rsidRDefault="004C5326" w:rsidP="00EA2834">
            <w:pPr>
              <w:pStyle w:val="BodyText"/>
              <w:spacing w:line="235" w:lineRule="auto"/>
              <w:jc w:val="center"/>
              <w:rPr>
                <w:b/>
                <w:szCs w:val="22"/>
              </w:rPr>
            </w:pPr>
            <w:r w:rsidRPr="008C2F68">
              <w:rPr>
                <w:b/>
                <w:szCs w:val="22"/>
              </w:rPr>
              <w:t>RM’000</w:t>
            </w:r>
          </w:p>
        </w:tc>
        <w:tc>
          <w:tcPr>
            <w:tcW w:w="1352" w:type="dxa"/>
            <w:vMerge/>
            <w:shd w:val="clear" w:color="auto" w:fill="auto"/>
          </w:tcPr>
          <w:p w:rsidR="004C5326" w:rsidRPr="008C2F68" w:rsidRDefault="004C5326" w:rsidP="00EA2834">
            <w:pPr>
              <w:pStyle w:val="BodyText"/>
              <w:spacing w:line="235" w:lineRule="auto"/>
              <w:jc w:val="center"/>
              <w:rPr>
                <w:szCs w:val="22"/>
              </w:rPr>
            </w:pPr>
          </w:p>
        </w:tc>
      </w:tr>
      <w:tr w:rsidR="004C5326" w:rsidRPr="008C2F68" w:rsidTr="00EA2834">
        <w:tc>
          <w:tcPr>
            <w:tcW w:w="2790" w:type="dxa"/>
            <w:tcBorders>
              <w:top w:val="single" w:sz="4" w:space="0" w:color="auto"/>
            </w:tcBorders>
            <w:shd w:val="clear" w:color="auto" w:fill="auto"/>
          </w:tcPr>
          <w:p w:rsidR="004C5326" w:rsidRPr="008C2F68" w:rsidRDefault="004C5326" w:rsidP="00EA2834">
            <w:pPr>
              <w:pStyle w:val="BodyText"/>
              <w:spacing w:line="235" w:lineRule="auto"/>
              <w:rPr>
                <w:szCs w:val="22"/>
              </w:rPr>
            </w:pPr>
            <w:r w:rsidRPr="008C2F68">
              <w:rPr>
                <w:szCs w:val="22"/>
              </w:rPr>
              <w:t>Revenue</w:t>
            </w:r>
          </w:p>
        </w:tc>
        <w:tc>
          <w:tcPr>
            <w:tcW w:w="1710" w:type="dxa"/>
            <w:shd w:val="clear" w:color="auto" w:fill="auto"/>
          </w:tcPr>
          <w:p w:rsidR="004C5326" w:rsidRPr="008C2F68" w:rsidRDefault="00BC2A54" w:rsidP="00EA2834">
            <w:pPr>
              <w:pStyle w:val="BodyText"/>
              <w:spacing w:line="235" w:lineRule="auto"/>
              <w:jc w:val="center"/>
              <w:rPr>
                <w:szCs w:val="22"/>
                <w:lang w:eastAsia="zh-CN"/>
              </w:rPr>
            </w:pPr>
            <w:r w:rsidRPr="008C2F68">
              <w:rPr>
                <w:szCs w:val="22"/>
                <w:lang w:eastAsia="zh-CN"/>
              </w:rPr>
              <w:t>99,761</w:t>
            </w:r>
          </w:p>
        </w:tc>
        <w:tc>
          <w:tcPr>
            <w:tcW w:w="1890" w:type="dxa"/>
            <w:shd w:val="clear" w:color="auto" w:fill="auto"/>
          </w:tcPr>
          <w:p w:rsidR="004C5326" w:rsidRPr="008C2F68" w:rsidRDefault="00F5799D" w:rsidP="00EA2834">
            <w:pPr>
              <w:pStyle w:val="BodyText"/>
              <w:spacing w:line="235" w:lineRule="auto"/>
              <w:jc w:val="center"/>
              <w:rPr>
                <w:szCs w:val="22"/>
                <w:lang w:eastAsia="zh-CN"/>
              </w:rPr>
            </w:pPr>
            <w:r w:rsidRPr="008C2F68">
              <w:rPr>
                <w:szCs w:val="22"/>
                <w:lang w:eastAsia="zh-CN"/>
              </w:rPr>
              <w:t>90,769</w:t>
            </w:r>
          </w:p>
        </w:tc>
        <w:tc>
          <w:tcPr>
            <w:tcW w:w="1710" w:type="dxa"/>
            <w:shd w:val="clear" w:color="auto" w:fill="auto"/>
          </w:tcPr>
          <w:p w:rsidR="004C5326" w:rsidRPr="008C2F68" w:rsidRDefault="00BC2A54" w:rsidP="00EA2834">
            <w:pPr>
              <w:pStyle w:val="BodyText"/>
              <w:spacing w:line="235" w:lineRule="auto"/>
              <w:jc w:val="center"/>
              <w:rPr>
                <w:szCs w:val="22"/>
                <w:lang w:eastAsia="zh-CN"/>
              </w:rPr>
            </w:pPr>
            <w:r w:rsidRPr="008C2F68">
              <w:rPr>
                <w:szCs w:val="22"/>
                <w:lang w:eastAsia="zh-CN"/>
              </w:rPr>
              <w:t>8,992</w:t>
            </w:r>
          </w:p>
        </w:tc>
        <w:tc>
          <w:tcPr>
            <w:tcW w:w="1352" w:type="dxa"/>
            <w:shd w:val="clear" w:color="auto" w:fill="auto"/>
          </w:tcPr>
          <w:p w:rsidR="004C5326" w:rsidRPr="008C2F68" w:rsidRDefault="00BC2A54" w:rsidP="00EA2834">
            <w:pPr>
              <w:pStyle w:val="BodyText"/>
              <w:spacing w:line="235" w:lineRule="auto"/>
              <w:jc w:val="center"/>
              <w:rPr>
                <w:szCs w:val="22"/>
                <w:lang w:eastAsia="zh-CN"/>
              </w:rPr>
            </w:pPr>
            <w:r w:rsidRPr="008C2F68">
              <w:rPr>
                <w:szCs w:val="22"/>
                <w:lang w:eastAsia="zh-CN"/>
              </w:rPr>
              <w:t>9.9</w:t>
            </w:r>
            <w:r w:rsidR="00267F47" w:rsidRPr="008C2F68">
              <w:rPr>
                <w:szCs w:val="22"/>
                <w:lang w:eastAsia="zh-CN"/>
              </w:rPr>
              <w:t>1</w:t>
            </w:r>
          </w:p>
        </w:tc>
      </w:tr>
      <w:tr w:rsidR="004C5326" w:rsidRPr="008C2F68" w:rsidTr="00EA2834">
        <w:tc>
          <w:tcPr>
            <w:tcW w:w="2790" w:type="dxa"/>
            <w:shd w:val="clear" w:color="auto" w:fill="auto"/>
          </w:tcPr>
          <w:p w:rsidR="004C5326" w:rsidRPr="008C2F68" w:rsidRDefault="004C5326" w:rsidP="00EA2834">
            <w:pPr>
              <w:pStyle w:val="BodyText"/>
              <w:spacing w:line="235" w:lineRule="auto"/>
              <w:rPr>
                <w:szCs w:val="22"/>
              </w:rPr>
            </w:pPr>
            <w:r w:rsidRPr="008C2F68">
              <w:rPr>
                <w:szCs w:val="22"/>
              </w:rPr>
              <w:t xml:space="preserve">Profit before tax </w:t>
            </w:r>
          </w:p>
        </w:tc>
        <w:tc>
          <w:tcPr>
            <w:tcW w:w="1710" w:type="dxa"/>
            <w:shd w:val="clear" w:color="auto" w:fill="auto"/>
          </w:tcPr>
          <w:p w:rsidR="004C5326" w:rsidRPr="008C2F68" w:rsidRDefault="00BC2A54" w:rsidP="00F45D28">
            <w:pPr>
              <w:pStyle w:val="BodyText"/>
              <w:tabs>
                <w:tab w:val="clear" w:pos="1080"/>
                <w:tab w:val="left" w:pos="1152"/>
              </w:tabs>
              <w:spacing w:line="235" w:lineRule="auto"/>
              <w:jc w:val="center"/>
              <w:rPr>
                <w:szCs w:val="22"/>
                <w:lang w:eastAsia="zh-CN"/>
              </w:rPr>
            </w:pPr>
            <w:r w:rsidRPr="008C2F68">
              <w:rPr>
                <w:szCs w:val="22"/>
                <w:lang w:eastAsia="zh-CN"/>
              </w:rPr>
              <w:t>9,039</w:t>
            </w:r>
          </w:p>
        </w:tc>
        <w:tc>
          <w:tcPr>
            <w:tcW w:w="1890" w:type="dxa"/>
            <w:shd w:val="clear" w:color="auto" w:fill="auto"/>
          </w:tcPr>
          <w:p w:rsidR="004C5326" w:rsidRPr="008C2F68" w:rsidRDefault="00F5799D" w:rsidP="00EA2834">
            <w:pPr>
              <w:pStyle w:val="BodyText"/>
              <w:spacing w:line="235" w:lineRule="auto"/>
              <w:jc w:val="center"/>
              <w:rPr>
                <w:szCs w:val="22"/>
                <w:lang w:eastAsia="zh-CN"/>
              </w:rPr>
            </w:pPr>
            <w:r w:rsidRPr="008C2F68">
              <w:rPr>
                <w:szCs w:val="22"/>
                <w:lang w:eastAsia="zh-CN"/>
              </w:rPr>
              <w:t>7,065</w:t>
            </w:r>
          </w:p>
        </w:tc>
        <w:tc>
          <w:tcPr>
            <w:tcW w:w="1710" w:type="dxa"/>
            <w:shd w:val="clear" w:color="auto" w:fill="auto"/>
          </w:tcPr>
          <w:p w:rsidR="004C5326" w:rsidRPr="008C2F68" w:rsidRDefault="00BC2A54" w:rsidP="00EA2834">
            <w:pPr>
              <w:pStyle w:val="BodyText"/>
              <w:spacing w:line="235" w:lineRule="auto"/>
              <w:jc w:val="center"/>
              <w:rPr>
                <w:szCs w:val="22"/>
                <w:lang w:eastAsia="zh-CN"/>
              </w:rPr>
            </w:pPr>
            <w:r w:rsidRPr="008C2F68">
              <w:rPr>
                <w:szCs w:val="22"/>
                <w:lang w:eastAsia="zh-CN"/>
              </w:rPr>
              <w:t>1,974</w:t>
            </w:r>
          </w:p>
        </w:tc>
        <w:tc>
          <w:tcPr>
            <w:tcW w:w="1352" w:type="dxa"/>
            <w:shd w:val="clear" w:color="auto" w:fill="auto"/>
          </w:tcPr>
          <w:p w:rsidR="004C5326" w:rsidRPr="008C2F68" w:rsidRDefault="00BC2A54" w:rsidP="00EA2834">
            <w:pPr>
              <w:pStyle w:val="BodyText"/>
              <w:spacing w:line="235" w:lineRule="auto"/>
              <w:jc w:val="center"/>
              <w:rPr>
                <w:szCs w:val="22"/>
                <w:lang w:eastAsia="zh-CN"/>
              </w:rPr>
            </w:pPr>
            <w:r w:rsidRPr="008C2F68">
              <w:rPr>
                <w:szCs w:val="22"/>
                <w:lang w:eastAsia="zh-CN"/>
              </w:rPr>
              <w:t>27.94</w:t>
            </w:r>
          </w:p>
        </w:tc>
      </w:tr>
    </w:tbl>
    <w:p w:rsidR="004C5326" w:rsidRPr="008C2F68" w:rsidRDefault="004C5326" w:rsidP="004C5326">
      <w:pPr>
        <w:pStyle w:val="BodyText"/>
        <w:spacing w:line="235" w:lineRule="auto"/>
        <w:ind w:left="720"/>
        <w:rPr>
          <w:szCs w:val="22"/>
          <w:lang w:eastAsia="zh-CN"/>
        </w:rPr>
      </w:pPr>
    </w:p>
    <w:p w:rsidR="009B67E1" w:rsidRPr="008C2F68" w:rsidRDefault="004C5326" w:rsidP="004C5326">
      <w:pPr>
        <w:pStyle w:val="BodyText"/>
        <w:spacing w:line="235" w:lineRule="auto"/>
        <w:ind w:left="720"/>
        <w:rPr>
          <w:szCs w:val="22"/>
          <w:lang w:eastAsia="zh-CN"/>
        </w:rPr>
      </w:pPr>
      <w:r w:rsidRPr="008C2F68">
        <w:rPr>
          <w:rFonts w:hint="eastAsia"/>
          <w:szCs w:val="22"/>
          <w:lang w:eastAsia="zh-CN"/>
        </w:rPr>
        <w:t>The Group</w:t>
      </w:r>
      <w:r w:rsidRPr="008C2F68">
        <w:rPr>
          <w:szCs w:val="22"/>
          <w:lang w:eastAsia="zh-CN"/>
        </w:rPr>
        <w:t>’s</w:t>
      </w:r>
      <w:r w:rsidRPr="008C2F68">
        <w:rPr>
          <w:rFonts w:hint="eastAsia"/>
          <w:szCs w:val="22"/>
          <w:lang w:eastAsia="zh-CN"/>
        </w:rPr>
        <w:t xml:space="preserve"> revenue for the </w:t>
      </w:r>
      <w:r w:rsidRPr="008C2F68">
        <w:rPr>
          <w:szCs w:val="22"/>
          <w:lang w:eastAsia="zh-CN"/>
        </w:rPr>
        <w:t>cumulative financial quarter</w:t>
      </w:r>
      <w:r w:rsidRPr="008C2F68">
        <w:rPr>
          <w:rFonts w:hint="eastAsia"/>
          <w:szCs w:val="22"/>
          <w:lang w:eastAsia="zh-CN"/>
        </w:rPr>
        <w:t xml:space="preserve"> ended 30 </w:t>
      </w:r>
      <w:r w:rsidR="000834D0" w:rsidRPr="008C2F68">
        <w:rPr>
          <w:szCs w:val="22"/>
          <w:lang w:eastAsia="zh-CN"/>
        </w:rPr>
        <w:t>September</w:t>
      </w:r>
      <w:r w:rsidRPr="008C2F68">
        <w:rPr>
          <w:rFonts w:hint="eastAsia"/>
          <w:szCs w:val="22"/>
          <w:lang w:eastAsia="zh-CN"/>
        </w:rPr>
        <w:t xml:space="preserve"> 201</w:t>
      </w:r>
      <w:r w:rsidR="00655C2A" w:rsidRPr="008C2F68">
        <w:rPr>
          <w:szCs w:val="22"/>
          <w:lang w:eastAsia="zh-CN"/>
        </w:rPr>
        <w:t>3</w:t>
      </w:r>
      <w:r w:rsidRPr="008C2F68">
        <w:rPr>
          <w:rFonts w:hint="eastAsia"/>
          <w:szCs w:val="22"/>
          <w:lang w:eastAsia="zh-CN"/>
        </w:rPr>
        <w:t xml:space="preserve"> has shown an increase of </w:t>
      </w:r>
      <w:r w:rsidR="000834D0" w:rsidRPr="008C2F68">
        <w:rPr>
          <w:szCs w:val="22"/>
          <w:lang w:eastAsia="zh-CN"/>
        </w:rPr>
        <w:t>9.9</w:t>
      </w:r>
      <w:r w:rsidR="008374FF" w:rsidRPr="008C2F68">
        <w:rPr>
          <w:szCs w:val="22"/>
          <w:lang w:eastAsia="zh-CN"/>
        </w:rPr>
        <w:t>1</w:t>
      </w:r>
      <w:r w:rsidRPr="008C2F68">
        <w:rPr>
          <w:rFonts w:hint="eastAsia"/>
          <w:szCs w:val="22"/>
          <w:lang w:eastAsia="zh-CN"/>
        </w:rPr>
        <w:t>% from RM</w:t>
      </w:r>
      <w:r w:rsidR="000834D0" w:rsidRPr="008C2F68">
        <w:rPr>
          <w:szCs w:val="22"/>
          <w:lang w:eastAsia="zh-CN"/>
        </w:rPr>
        <w:t>90</w:t>
      </w:r>
      <w:r w:rsidR="004F0392" w:rsidRPr="008C2F68">
        <w:rPr>
          <w:szCs w:val="22"/>
          <w:lang w:eastAsia="zh-CN"/>
        </w:rPr>
        <w:t>.</w:t>
      </w:r>
      <w:r w:rsidR="000834D0" w:rsidRPr="008C2F68">
        <w:rPr>
          <w:szCs w:val="22"/>
          <w:lang w:eastAsia="zh-CN"/>
        </w:rPr>
        <w:t>769</w:t>
      </w:r>
      <w:r w:rsidRPr="008C2F68">
        <w:rPr>
          <w:rFonts w:hint="eastAsia"/>
          <w:szCs w:val="22"/>
          <w:lang w:eastAsia="zh-CN"/>
        </w:rPr>
        <w:t xml:space="preserve"> million to RM</w:t>
      </w:r>
      <w:r w:rsidR="00CE0EB7" w:rsidRPr="008C2F68">
        <w:rPr>
          <w:szCs w:val="22"/>
          <w:lang w:eastAsia="zh-CN"/>
        </w:rPr>
        <w:t>99</w:t>
      </w:r>
      <w:r w:rsidR="004F0392" w:rsidRPr="008C2F68">
        <w:rPr>
          <w:szCs w:val="22"/>
          <w:lang w:eastAsia="zh-CN"/>
        </w:rPr>
        <w:t>.</w:t>
      </w:r>
      <w:r w:rsidR="00CE0EB7" w:rsidRPr="008C2F68">
        <w:rPr>
          <w:szCs w:val="22"/>
          <w:lang w:eastAsia="zh-CN"/>
        </w:rPr>
        <w:t>761</w:t>
      </w:r>
      <w:r w:rsidRPr="008C2F68">
        <w:rPr>
          <w:rFonts w:hint="eastAsia"/>
          <w:szCs w:val="22"/>
          <w:lang w:eastAsia="zh-CN"/>
        </w:rPr>
        <w:t xml:space="preserve"> million</w:t>
      </w:r>
      <w:r w:rsidRPr="008C2F68">
        <w:rPr>
          <w:szCs w:val="22"/>
          <w:lang w:eastAsia="zh-CN"/>
        </w:rPr>
        <w:t xml:space="preserve"> as compared to the corresponding period in the preceding financial year</w:t>
      </w:r>
      <w:r w:rsidRPr="008C2F68">
        <w:rPr>
          <w:rFonts w:hint="eastAsia"/>
          <w:szCs w:val="22"/>
          <w:lang w:eastAsia="zh-CN"/>
        </w:rPr>
        <w:t>. The increase in</w:t>
      </w:r>
      <w:r w:rsidRPr="008C2F68">
        <w:rPr>
          <w:szCs w:val="22"/>
          <w:lang w:eastAsia="zh-CN"/>
        </w:rPr>
        <w:t xml:space="preserve"> the</w:t>
      </w:r>
      <w:r w:rsidRPr="008C2F68">
        <w:rPr>
          <w:rFonts w:hint="eastAsia"/>
          <w:szCs w:val="22"/>
          <w:lang w:eastAsia="zh-CN"/>
        </w:rPr>
        <w:t xml:space="preserve"> </w:t>
      </w:r>
      <w:r w:rsidRPr="008C2F68">
        <w:rPr>
          <w:szCs w:val="22"/>
          <w:lang w:eastAsia="zh-CN"/>
        </w:rPr>
        <w:t>G</w:t>
      </w:r>
      <w:r w:rsidRPr="008C2F68">
        <w:rPr>
          <w:rFonts w:hint="eastAsia"/>
          <w:szCs w:val="22"/>
          <w:lang w:eastAsia="zh-CN"/>
        </w:rPr>
        <w:t>roup</w:t>
      </w:r>
      <w:r w:rsidRPr="008C2F68">
        <w:rPr>
          <w:szCs w:val="22"/>
          <w:lang w:eastAsia="zh-CN"/>
        </w:rPr>
        <w:t>’s</w:t>
      </w:r>
      <w:r w:rsidRPr="008C2F68">
        <w:rPr>
          <w:rFonts w:hint="eastAsia"/>
          <w:szCs w:val="22"/>
          <w:lang w:eastAsia="zh-CN"/>
        </w:rPr>
        <w:t xml:space="preserve"> revenue of RM</w:t>
      </w:r>
      <w:r w:rsidR="00707735" w:rsidRPr="008C2F68">
        <w:rPr>
          <w:szCs w:val="22"/>
          <w:lang w:eastAsia="zh-CN"/>
        </w:rPr>
        <w:t>8</w:t>
      </w:r>
      <w:r w:rsidR="00655C2A" w:rsidRPr="008C2F68">
        <w:rPr>
          <w:szCs w:val="22"/>
          <w:lang w:eastAsia="zh-CN"/>
        </w:rPr>
        <w:t>.</w:t>
      </w:r>
      <w:r w:rsidR="00CE0EB7" w:rsidRPr="008C2F68">
        <w:rPr>
          <w:szCs w:val="22"/>
          <w:lang w:eastAsia="zh-CN"/>
        </w:rPr>
        <w:t>992</w:t>
      </w:r>
      <w:r w:rsidRPr="008C2F68">
        <w:rPr>
          <w:rFonts w:hint="eastAsia"/>
          <w:szCs w:val="22"/>
          <w:lang w:eastAsia="zh-CN"/>
        </w:rPr>
        <w:t xml:space="preserve"> million was attributed</w:t>
      </w:r>
      <w:r w:rsidRPr="008C2F68">
        <w:rPr>
          <w:szCs w:val="22"/>
          <w:lang w:eastAsia="zh-CN"/>
        </w:rPr>
        <w:t xml:space="preserve"> mainly</w:t>
      </w:r>
      <w:r w:rsidRPr="008C2F68">
        <w:rPr>
          <w:rFonts w:hint="eastAsia"/>
          <w:szCs w:val="22"/>
          <w:lang w:eastAsia="zh-CN"/>
        </w:rPr>
        <w:t xml:space="preserve"> to higher sales volume generated </w:t>
      </w:r>
      <w:r w:rsidRPr="008C2F68">
        <w:rPr>
          <w:szCs w:val="22"/>
          <w:lang w:eastAsia="zh-CN"/>
        </w:rPr>
        <w:t>by</w:t>
      </w:r>
      <w:r w:rsidRPr="008C2F68">
        <w:rPr>
          <w:rFonts w:hint="eastAsia"/>
          <w:szCs w:val="22"/>
          <w:lang w:eastAsia="zh-CN"/>
        </w:rPr>
        <w:t xml:space="preserve"> polymeric division</w:t>
      </w:r>
      <w:r w:rsidR="00D71A9D" w:rsidRPr="008C2F68">
        <w:rPr>
          <w:szCs w:val="22"/>
          <w:lang w:eastAsia="zh-CN"/>
        </w:rPr>
        <w:t>.</w:t>
      </w:r>
      <w:r w:rsidR="00D71A9D" w:rsidRPr="008C2F68" w:rsidDel="00D71A9D">
        <w:rPr>
          <w:rFonts w:hint="eastAsia"/>
          <w:szCs w:val="22"/>
          <w:lang w:eastAsia="zh-CN"/>
        </w:rPr>
        <w:t xml:space="preserve"> </w:t>
      </w:r>
    </w:p>
    <w:p w:rsidR="009B67E1" w:rsidRPr="008C2F68" w:rsidRDefault="009B67E1" w:rsidP="004C5326">
      <w:pPr>
        <w:pStyle w:val="BodyText"/>
        <w:spacing w:line="235" w:lineRule="auto"/>
        <w:ind w:left="720"/>
        <w:rPr>
          <w:szCs w:val="22"/>
          <w:lang w:eastAsia="zh-CN"/>
        </w:rPr>
      </w:pPr>
    </w:p>
    <w:p w:rsidR="004C5326" w:rsidRPr="008C2F68" w:rsidRDefault="004C5326" w:rsidP="004C5326">
      <w:pPr>
        <w:pStyle w:val="BodyText"/>
        <w:spacing w:line="235" w:lineRule="auto"/>
        <w:ind w:left="720"/>
        <w:rPr>
          <w:szCs w:val="22"/>
          <w:lang w:eastAsia="zh-CN"/>
        </w:rPr>
      </w:pPr>
      <w:r w:rsidRPr="008C2F68">
        <w:rPr>
          <w:rFonts w:hint="eastAsia"/>
          <w:szCs w:val="22"/>
          <w:lang w:eastAsia="zh-CN"/>
        </w:rPr>
        <w:t>Similarly, the profit before tax had also increased by RM</w:t>
      </w:r>
      <w:r w:rsidR="00655C2A" w:rsidRPr="008C2F68">
        <w:rPr>
          <w:szCs w:val="22"/>
          <w:lang w:eastAsia="zh-CN"/>
        </w:rPr>
        <w:t>1</w:t>
      </w:r>
      <w:r w:rsidRPr="008C2F68">
        <w:rPr>
          <w:rFonts w:hint="eastAsia"/>
          <w:szCs w:val="22"/>
          <w:lang w:eastAsia="zh-CN"/>
        </w:rPr>
        <w:t>.</w:t>
      </w:r>
      <w:r w:rsidR="00655C2A" w:rsidRPr="008C2F68">
        <w:rPr>
          <w:szCs w:val="22"/>
          <w:lang w:eastAsia="zh-CN"/>
        </w:rPr>
        <w:t>97</w:t>
      </w:r>
      <w:r w:rsidR="00CE0EB7" w:rsidRPr="008C2F68">
        <w:rPr>
          <w:szCs w:val="22"/>
          <w:lang w:eastAsia="zh-CN"/>
        </w:rPr>
        <w:t>4</w:t>
      </w:r>
      <w:r w:rsidRPr="008C2F68">
        <w:rPr>
          <w:rFonts w:hint="eastAsia"/>
          <w:szCs w:val="22"/>
          <w:lang w:eastAsia="zh-CN"/>
        </w:rPr>
        <w:t xml:space="preserve"> million, from RM</w:t>
      </w:r>
      <w:r w:rsidR="00CE0EB7" w:rsidRPr="008C2F68">
        <w:rPr>
          <w:szCs w:val="22"/>
          <w:lang w:eastAsia="zh-CN"/>
        </w:rPr>
        <w:t>7.065</w:t>
      </w:r>
      <w:r w:rsidRPr="008C2F68">
        <w:rPr>
          <w:rFonts w:hint="eastAsia"/>
          <w:szCs w:val="22"/>
          <w:lang w:eastAsia="zh-CN"/>
        </w:rPr>
        <w:t xml:space="preserve"> million for the period ended 30 </w:t>
      </w:r>
      <w:r w:rsidR="00CE0EB7" w:rsidRPr="008C2F68">
        <w:rPr>
          <w:szCs w:val="22"/>
          <w:lang w:eastAsia="zh-CN"/>
        </w:rPr>
        <w:t>September</w:t>
      </w:r>
      <w:r w:rsidRPr="008C2F68">
        <w:rPr>
          <w:rFonts w:hint="eastAsia"/>
          <w:szCs w:val="22"/>
          <w:lang w:eastAsia="zh-CN"/>
        </w:rPr>
        <w:t xml:space="preserve"> 201</w:t>
      </w:r>
      <w:r w:rsidR="00655C2A" w:rsidRPr="008C2F68">
        <w:rPr>
          <w:szCs w:val="22"/>
          <w:lang w:eastAsia="zh-CN"/>
        </w:rPr>
        <w:t>2</w:t>
      </w:r>
      <w:r w:rsidRPr="008C2F68">
        <w:rPr>
          <w:rFonts w:hint="eastAsia"/>
          <w:szCs w:val="22"/>
          <w:lang w:eastAsia="zh-CN"/>
        </w:rPr>
        <w:t xml:space="preserve"> to RM</w:t>
      </w:r>
      <w:r w:rsidR="00CE0EB7" w:rsidRPr="008C2F68">
        <w:rPr>
          <w:szCs w:val="22"/>
          <w:lang w:eastAsia="zh-CN"/>
        </w:rPr>
        <w:t>9.039</w:t>
      </w:r>
      <w:r w:rsidRPr="008C2F68">
        <w:rPr>
          <w:rFonts w:hint="eastAsia"/>
          <w:szCs w:val="22"/>
          <w:lang w:eastAsia="zh-CN"/>
        </w:rPr>
        <w:t xml:space="preserve"> million </w:t>
      </w:r>
      <w:r w:rsidRPr="008C2F68">
        <w:rPr>
          <w:szCs w:val="22"/>
          <w:lang w:eastAsia="zh-CN"/>
        </w:rPr>
        <w:t>for</w:t>
      </w:r>
      <w:r w:rsidRPr="008C2F68">
        <w:rPr>
          <w:rFonts w:hint="eastAsia"/>
          <w:szCs w:val="22"/>
          <w:lang w:eastAsia="zh-CN"/>
        </w:rPr>
        <w:t xml:space="preserve"> the current financial period. This was due m</w:t>
      </w:r>
      <w:r w:rsidR="0067494C" w:rsidRPr="008C2F68">
        <w:rPr>
          <w:rFonts w:hint="eastAsia"/>
          <w:szCs w:val="22"/>
          <w:lang w:eastAsia="zh-CN"/>
        </w:rPr>
        <w:t xml:space="preserve">ainly to higher sales </w:t>
      </w:r>
      <w:r w:rsidR="00297FF9" w:rsidRPr="008C2F68">
        <w:rPr>
          <w:szCs w:val="22"/>
          <w:lang w:eastAsia="zh-CN"/>
        </w:rPr>
        <w:t xml:space="preserve">volume </w:t>
      </w:r>
      <w:r w:rsidR="0067494C" w:rsidRPr="008C2F68">
        <w:rPr>
          <w:rFonts w:hint="eastAsia"/>
          <w:szCs w:val="22"/>
          <w:lang w:eastAsia="zh-CN"/>
        </w:rPr>
        <w:t>generate</w:t>
      </w:r>
      <w:r w:rsidR="0067494C" w:rsidRPr="008C2F68">
        <w:rPr>
          <w:szCs w:val="22"/>
          <w:lang w:eastAsia="zh-CN"/>
        </w:rPr>
        <w:t xml:space="preserve">d coupled with </w:t>
      </w:r>
      <w:r w:rsidR="00707735" w:rsidRPr="008C2F68">
        <w:rPr>
          <w:szCs w:val="22"/>
          <w:lang w:eastAsia="zh-CN"/>
        </w:rPr>
        <w:t xml:space="preserve">the </w:t>
      </w:r>
      <w:r w:rsidR="0067494C" w:rsidRPr="008C2F68">
        <w:rPr>
          <w:szCs w:val="22"/>
          <w:lang w:eastAsia="zh-CN"/>
        </w:rPr>
        <w:t>improvement</w:t>
      </w:r>
      <w:r w:rsidRPr="008C2F68">
        <w:rPr>
          <w:rFonts w:hint="eastAsia"/>
          <w:szCs w:val="22"/>
          <w:lang w:eastAsia="zh-CN"/>
        </w:rPr>
        <w:t xml:space="preserve"> in gross </w:t>
      </w:r>
      <w:r w:rsidR="0067494C" w:rsidRPr="008C2F68">
        <w:rPr>
          <w:szCs w:val="22"/>
          <w:lang w:eastAsia="zh-CN"/>
        </w:rPr>
        <w:t xml:space="preserve">profit </w:t>
      </w:r>
      <w:r w:rsidRPr="008C2F68">
        <w:rPr>
          <w:rFonts w:hint="eastAsia"/>
          <w:szCs w:val="22"/>
          <w:lang w:eastAsia="zh-CN"/>
        </w:rPr>
        <w:t>margin</w:t>
      </w:r>
      <w:r w:rsidR="00297FF9" w:rsidRPr="008C2F68">
        <w:rPr>
          <w:szCs w:val="22"/>
          <w:lang w:eastAsia="zh-CN"/>
        </w:rPr>
        <w:t xml:space="preserve"> of polymeric products</w:t>
      </w:r>
      <w:r w:rsidRPr="008C2F68">
        <w:rPr>
          <w:rFonts w:hint="eastAsia"/>
          <w:szCs w:val="22"/>
          <w:lang w:eastAsia="zh-CN"/>
        </w:rPr>
        <w:t>. However, the increase</w:t>
      </w:r>
      <w:r w:rsidRPr="008C2F68">
        <w:rPr>
          <w:szCs w:val="22"/>
          <w:lang w:eastAsia="zh-CN"/>
        </w:rPr>
        <w:t xml:space="preserve"> in profit before tax</w:t>
      </w:r>
      <w:r w:rsidRPr="008C2F68">
        <w:rPr>
          <w:rFonts w:hint="eastAsia"/>
          <w:szCs w:val="22"/>
          <w:lang w:eastAsia="zh-CN"/>
        </w:rPr>
        <w:t xml:space="preserve"> was</w:t>
      </w:r>
      <w:r w:rsidRPr="008C2F68">
        <w:rPr>
          <w:szCs w:val="22"/>
          <w:lang w:eastAsia="zh-CN"/>
        </w:rPr>
        <w:t xml:space="preserve"> mitigated</w:t>
      </w:r>
      <w:r w:rsidR="0067494C" w:rsidRPr="008C2F68">
        <w:rPr>
          <w:rFonts w:hint="eastAsia"/>
          <w:szCs w:val="22"/>
          <w:lang w:eastAsia="zh-CN"/>
        </w:rPr>
        <w:t xml:space="preserve"> by the increase in </w:t>
      </w:r>
      <w:r w:rsidR="0067494C" w:rsidRPr="008C2F68">
        <w:rPr>
          <w:szCs w:val="22"/>
          <w:lang w:eastAsia="zh-CN"/>
        </w:rPr>
        <w:t>freight charges and staff costs.</w:t>
      </w:r>
      <w:r w:rsidRPr="008C2F68">
        <w:rPr>
          <w:szCs w:val="22"/>
          <w:lang w:eastAsia="zh-CN"/>
        </w:rPr>
        <w:t xml:space="preserve"> </w:t>
      </w:r>
    </w:p>
    <w:p w:rsidR="004C5326" w:rsidRPr="008C2F68" w:rsidRDefault="004C5326" w:rsidP="004C5326">
      <w:pPr>
        <w:pStyle w:val="BodyText"/>
        <w:spacing w:line="235" w:lineRule="auto"/>
        <w:ind w:left="720"/>
        <w:rPr>
          <w:szCs w:val="22"/>
          <w:lang w:eastAsia="zh-CN"/>
        </w:rPr>
      </w:pPr>
    </w:p>
    <w:p w:rsidR="004C5326" w:rsidRPr="008C2F68" w:rsidRDefault="004C5326" w:rsidP="004C5326">
      <w:pPr>
        <w:pStyle w:val="BodyText"/>
        <w:spacing w:line="235" w:lineRule="auto"/>
        <w:ind w:left="720"/>
        <w:rPr>
          <w:szCs w:val="22"/>
          <w:lang w:eastAsia="zh-CN"/>
        </w:rPr>
      </w:pPr>
      <w:r w:rsidRPr="008C2F68">
        <w:rPr>
          <w:rFonts w:hint="eastAsia"/>
          <w:szCs w:val="22"/>
          <w:lang w:eastAsia="zh-CN"/>
        </w:rPr>
        <w:t xml:space="preserve">Performance of the respective </w:t>
      </w:r>
      <w:r w:rsidRPr="008C2F68">
        <w:rPr>
          <w:szCs w:val="22"/>
          <w:lang w:eastAsia="zh-CN"/>
        </w:rPr>
        <w:t>operating</w:t>
      </w:r>
      <w:r w:rsidRPr="008C2F68">
        <w:rPr>
          <w:rFonts w:hint="eastAsia"/>
          <w:szCs w:val="22"/>
          <w:lang w:eastAsia="zh-CN"/>
        </w:rPr>
        <w:t xml:space="preserve"> business segments for the current</w:t>
      </w:r>
      <w:r w:rsidRPr="008C2F68">
        <w:rPr>
          <w:szCs w:val="22"/>
          <w:lang w:eastAsia="zh-CN"/>
        </w:rPr>
        <w:t xml:space="preserve"> financial </w:t>
      </w:r>
      <w:r w:rsidRPr="008C2F68">
        <w:rPr>
          <w:rFonts w:hint="eastAsia"/>
          <w:szCs w:val="22"/>
          <w:lang w:eastAsia="zh-CN"/>
        </w:rPr>
        <w:t xml:space="preserve">period as compared to the </w:t>
      </w:r>
      <w:r w:rsidRPr="008C2F68">
        <w:rPr>
          <w:szCs w:val="22"/>
          <w:lang w:eastAsia="zh-CN"/>
        </w:rPr>
        <w:t xml:space="preserve">previous year corresponding </w:t>
      </w:r>
      <w:r w:rsidRPr="008C2F68">
        <w:rPr>
          <w:rFonts w:hint="eastAsia"/>
          <w:szCs w:val="22"/>
          <w:lang w:eastAsia="zh-CN"/>
        </w:rPr>
        <w:t xml:space="preserve">period is </w:t>
      </w:r>
      <w:proofErr w:type="spellStart"/>
      <w:r w:rsidRPr="008C2F68">
        <w:rPr>
          <w:rFonts w:hint="eastAsia"/>
          <w:szCs w:val="22"/>
          <w:lang w:eastAsia="zh-CN"/>
        </w:rPr>
        <w:t>analysed</w:t>
      </w:r>
      <w:proofErr w:type="spellEnd"/>
      <w:r w:rsidRPr="008C2F68">
        <w:rPr>
          <w:rFonts w:hint="eastAsia"/>
          <w:szCs w:val="22"/>
          <w:lang w:eastAsia="zh-CN"/>
        </w:rPr>
        <w:t xml:space="preserve"> as follow</w:t>
      </w:r>
      <w:r w:rsidRPr="008C2F68">
        <w:rPr>
          <w:szCs w:val="22"/>
          <w:lang w:eastAsia="zh-CN"/>
        </w:rPr>
        <w:t>s</w:t>
      </w:r>
      <w:r w:rsidRPr="008C2F68">
        <w:rPr>
          <w:rFonts w:hint="eastAsia"/>
          <w:szCs w:val="22"/>
          <w:lang w:eastAsia="zh-CN"/>
        </w:rPr>
        <w:t>:</w:t>
      </w:r>
    </w:p>
    <w:p w:rsidR="004C5326" w:rsidRPr="008C2F68" w:rsidRDefault="004C5326" w:rsidP="004C5326">
      <w:pPr>
        <w:pStyle w:val="BodyText"/>
        <w:spacing w:line="235" w:lineRule="auto"/>
        <w:ind w:left="720"/>
        <w:rPr>
          <w:szCs w:val="22"/>
          <w:lang w:eastAsia="zh-CN"/>
        </w:rPr>
      </w:pPr>
    </w:p>
    <w:p w:rsidR="004C5326" w:rsidRPr="008C2F68" w:rsidRDefault="004C5326" w:rsidP="004C5326">
      <w:pPr>
        <w:pStyle w:val="BlockText"/>
        <w:tabs>
          <w:tab w:val="left" w:pos="720"/>
          <w:tab w:val="left" w:pos="7470"/>
        </w:tabs>
        <w:ind w:left="720" w:right="0"/>
        <w:rPr>
          <w:sz w:val="22"/>
          <w:szCs w:val="22"/>
          <w:u w:val="single"/>
          <w:lang w:eastAsia="zh-CN"/>
        </w:rPr>
      </w:pPr>
      <w:r w:rsidRPr="008C2F68">
        <w:rPr>
          <w:rFonts w:hint="eastAsia"/>
          <w:sz w:val="22"/>
          <w:szCs w:val="22"/>
          <w:u w:val="single"/>
          <w:lang w:eastAsia="zh-CN"/>
        </w:rPr>
        <w:t>Polymeric division</w:t>
      </w:r>
    </w:p>
    <w:p w:rsidR="004F0392" w:rsidRPr="008C2F68" w:rsidRDefault="004C5326" w:rsidP="004F0392">
      <w:pPr>
        <w:pStyle w:val="BlockText"/>
        <w:tabs>
          <w:tab w:val="left" w:pos="720"/>
          <w:tab w:val="left" w:pos="7470"/>
        </w:tabs>
        <w:ind w:left="720" w:right="0"/>
        <w:rPr>
          <w:sz w:val="22"/>
          <w:szCs w:val="22"/>
          <w:lang w:eastAsia="zh-CN"/>
        </w:rPr>
      </w:pPr>
      <w:r w:rsidRPr="008C2F68">
        <w:rPr>
          <w:rFonts w:hint="eastAsia"/>
          <w:sz w:val="22"/>
          <w:szCs w:val="22"/>
          <w:lang w:eastAsia="zh-CN"/>
        </w:rPr>
        <w:t>Sales performance of the polymeric division has improved by RM</w:t>
      </w:r>
      <w:r w:rsidR="00CE0EB7" w:rsidRPr="008C2F68">
        <w:rPr>
          <w:sz w:val="22"/>
          <w:szCs w:val="22"/>
          <w:lang w:eastAsia="zh-CN"/>
        </w:rPr>
        <w:t>12.684</w:t>
      </w:r>
      <w:r w:rsidRPr="008C2F68">
        <w:rPr>
          <w:rFonts w:hint="eastAsia"/>
          <w:sz w:val="22"/>
          <w:szCs w:val="22"/>
          <w:lang w:eastAsia="zh-CN"/>
        </w:rPr>
        <w:t xml:space="preserve"> million, from RM</w:t>
      </w:r>
      <w:r w:rsidR="00CE0EB7" w:rsidRPr="008C2F68">
        <w:rPr>
          <w:sz w:val="22"/>
          <w:szCs w:val="22"/>
          <w:lang w:eastAsia="zh-CN"/>
        </w:rPr>
        <w:t>75.950</w:t>
      </w:r>
      <w:r w:rsidRPr="008C2F68">
        <w:rPr>
          <w:rFonts w:hint="eastAsia"/>
          <w:sz w:val="22"/>
          <w:szCs w:val="22"/>
          <w:lang w:eastAsia="zh-CN"/>
        </w:rPr>
        <w:t xml:space="preserve"> million to RM</w:t>
      </w:r>
      <w:r w:rsidR="00CE0EB7" w:rsidRPr="008C2F68">
        <w:rPr>
          <w:sz w:val="22"/>
          <w:szCs w:val="22"/>
          <w:lang w:eastAsia="zh-CN"/>
        </w:rPr>
        <w:t>88.634</w:t>
      </w:r>
      <w:r w:rsidRPr="008C2F68">
        <w:rPr>
          <w:rFonts w:hint="eastAsia"/>
          <w:sz w:val="22"/>
          <w:szCs w:val="22"/>
          <w:lang w:eastAsia="zh-CN"/>
        </w:rPr>
        <w:t xml:space="preserve"> million</w:t>
      </w:r>
      <w:r w:rsidR="004F0392" w:rsidRPr="008C2F68">
        <w:rPr>
          <w:sz w:val="22"/>
          <w:szCs w:val="22"/>
          <w:lang w:eastAsia="zh-CN"/>
        </w:rPr>
        <w:t xml:space="preserve"> which</w:t>
      </w:r>
      <w:r w:rsidRPr="008C2F68">
        <w:rPr>
          <w:rFonts w:hint="eastAsia"/>
          <w:sz w:val="22"/>
          <w:szCs w:val="22"/>
          <w:lang w:eastAsia="zh-CN"/>
        </w:rPr>
        <w:t xml:space="preserve"> was due mainly to the higher sales volume </w:t>
      </w:r>
      <w:r w:rsidR="0067494C" w:rsidRPr="008C2F68">
        <w:rPr>
          <w:rFonts w:hint="eastAsia"/>
          <w:sz w:val="22"/>
          <w:szCs w:val="22"/>
          <w:lang w:eastAsia="zh-CN"/>
        </w:rPr>
        <w:t>(</w:t>
      </w:r>
      <w:r w:rsidR="004F0392" w:rsidRPr="008C2F68">
        <w:rPr>
          <w:sz w:val="22"/>
          <w:szCs w:val="22"/>
          <w:lang w:eastAsia="zh-CN"/>
        </w:rPr>
        <w:t>3,</w:t>
      </w:r>
      <w:r w:rsidR="00CE0EB7" w:rsidRPr="008C2F68">
        <w:rPr>
          <w:sz w:val="22"/>
          <w:szCs w:val="22"/>
          <w:lang w:eastAsia="zh-CN"/>
        </w:rPr>
        <w:t>598</w:t>
      </w:r>
      <w:r w:rsidRPr="008C2F68">
        <w:rPr>
          <w:rFonts w:hint="eastAsia"/>
          <w:sz w:val="22"/>
          <w:szCs w:val="22"/>
          <w:lang w:eastAsia="zh-CN"/>
        </w:rPr>
        <w:t xml:space="preserve"> </w:t>
      </w:r>
      <w:r w:rsidRPr="008C2F68">
        <w:rPr>
          <w:sz w:val="22"/>
          <w:szCs w:val="22"/>
          <w:lang w:eastAsia="zh-CN"/>
        </w:rPr>
        <w:t xml:space="preserve">metric </w:t>
      </w:r>
      <w:proofErr w:type="spellStart"/>
      <w:r w:rsidRPr="008C2F68">
        <w:rPr>
          <w:rFonts w:hint="eastAsia"/>
          <w:sz w:val="22"/>
          <w:szCs w:val="22"/>
          <w:lang w:eastAsia="zh-CN"/>
        </w:rPr>
        <w:t>tonnes</w:t>
      </w:r>
      <w:proofErr w:type="spellEnd"/>
      <w:r w:rsidRPr="008C2F68">
        <w:rPr>
          <w:rFonts w:hint="eastAsia"/>
          <w:sz w:val="22"/>
          <w:szCs w:val="22"/>
          <w:lang w:eastAsia="zh-CN"/>
        </w:rPr>
        <w:t>)</w:t>
      </w:r>
      <w:r w:rsidR="004F0392" w:rsidRPr="008C2F68">
        <w:rPr>
          <w:sz w:val="22"/>
          <w:szCs w:val="22"/>
          <w:lang w:eastAsia="zh-CN"/>
        </w:rPr>
        <w:t xml:space="preserve">. </w:t>
      </w:r>
      <w:r w:rsidR="004F0392" w:rsidRPr="008C2F68">
        <w:rPr>
          <w:rFonts w:hint="eastAsia"/>
          <w:sz w:val="22"/>
          <w:szCs w:val="22"/>
          <w:lang w:eastAsia="zh-CN"/>
        </w:rPr>
        <w:t xml:space="preserve">Similarly, the profit before tax </w:t>
      </w:r>
      <w:r w:rsidR="004F0392" w:rsidRPr="008C2F68">
        <w:rPr>
          <w:sz w:val="22"/>
          <w:szCs w:val="22"/>
          <w:lang w:eastAsia="zh-CN"/>
        </w:rPr>
        <w:t>has</w:t>
      </w:r>
      <w:r w:rsidR="004F0392" w:rsidRPr="008C2F68">
        <w:rPr>
          <w:rFonts w:hint="eastAsia"/>
          <w:sz w:val="22"/>
          <w:szCs w:val="22"/>
          <w:lang w:eastAsia="zh-CN"/>
        </w:rPr>
        <w:t xml:space="preserve"> also increased by RM</w:t>
      </w:r>
      <w:r w:rsidR="00297FF9" w:rsidRPr="008C2F68">
        <w:rPr>
          <w:sz w:val="22"/>
          <w:szCs w:val="22"/>
          <w:lang w:eastAsia="zh-CN"/>
        </w:rPr>
        <w:t>2.325</w:t>
      </w:r>
      <w:r w:rsidR="004F0392" w:rsidRPr="008C2F68">
        <w:rPr>
          <w:sz w:val="22"/>
          <w:szCs w:val="22"/>
          <w:lang w:eastAsia="zh-CN"/>
        </w:rPr>
        <w:t xml:space="preserve"> </w:t>
      </w:r>
      <w:r w:rsidR="004F0392" w:rsidRPr="008C2F68">
        <w:rPr>
          <w:rFonts w:hint="eastAsia"/>
          <w:sz w:val="22"/>
          <w:szCs w:val="22"/>
          <w:lang w:eastAsia="zh-CN"/>
        </w:rPr>
        <w:t>million due principally to the increase in revenue</w:t>
      </w:r>
      <w:r w:rsidR="004F0392" w:rsidRPr="008C2F68">
        <w:rPr>
          <w:sz w:val="22"/>
          <w:szCs w:val="22"/>
          <w:lang w:eastAsia="zh-CN"/>
        </w:rPr>
        <w:t xml:space="preserve"> and slight increase in gross profit margin</w:t>
      </w:r>
      <w:r w:rsidR="00366C16" w:rsidRPr="008C2F68">
        <w:rPr>
          <w:sz w:val="22"/>
          <w:szCs w:val="22"/>
          <w:lang w:eastAsia="zh-CN"/>
        </w:rPr>
        <w:t>.</w:t>
      </w:r>
    </w:p>
    <w:p w:rsidR="004F0392" w:rsidRPr="008C2F68" w:rsidRDefault="004F0392" w:rsidP="004F0392">
      <w:pPr>
        <w:pStyle w:val="BlockText"/>
        <w:tabs>
          <w:tab w:val="left" w:pos="720"/>
          <w:tab w:val="left" w:pos="7470"/>
        </w:tabs>
        <w:ind w:left="720" w:right="0"/>
        <w:rPr>
          <w:sz w:val="22"/>
          <w:szCs w:val="22"/>
          <w:lang w:eastAsia="zh-CN"/>
        </w:rPr>
      </w:pPr>
    </w:p>
    <w:p w:rsidR="004C5326" w:rsidRPr="008C2F68" w:rsidRDefault="004C5326" w:rsidP="004C5326">
      <w:pPr>
        <w:pStyle w:val="BlockText"/>
        <w:tabs>
          <w:tab w:val="left" w:pos="720"/>
          <w:tab w:val="left" w:pos="7470"/>
        </w:tabs>
        <w:ind w:left="720" w:right="0"/>
        <w:rPr>
          <w:sz w:val="22"/>
          <w:szCs w:val="22"/>
          <w:u w:val="single"/>
          <w:lang w:eastAsia="zh-CN"/>
        </w:rPr>
      </w:pPr>
      <w:proofErr w:type="spellStart"/>
      <w:r w:rsidRPr="008C2F68">
        <w:rPr>
          <w:rFonts w:hint="eastAsia"/>
          <w:sz w:val="22"/>
          <w:szCs w:val="22"/>
          <w:u w:val="single"/>
          <w:lang w:eastAsia="zh-CN"/>
        </w:rPr>
        <w:t>Oleochemical</w:t>
      </w:r>
      <w:proofErr w:type="spellEnd"/>
      <w:r w:rsidRPr="008C2F68">
        <w:rPr>
          <w:rFonts w:hint="eastAsia"/>
          <w:sz w:val="22"/>
          <w:szCs w:val="22"/>
          <w:u w:val="single"/>
          <w:lang w:eastAsia="zh-CN"/>
        </w:rPr>
        <w:t xml:space="preserve"> division</w:t>
      </w:r>
    </w:p>
    <w:p w:rsidR="00AA040C" w:rsidRPr="008C2F68" w:rsidRDefault="004C5326" w:rsidP="004C5326">
      <w:pPr>
        <w:pStyle w:val="BlockText"/>
        <w:tabs>
          <w:tab w:val="left" w:pos="720"/>
          <w:tab w:val="left" w:pos="7470"/>
        </w:tabs>
        <w:ind w:left="720" w:right="0"/>
        <w:rPr>
          <w:sz w:val="22"/>
          <w:szCs w:val="22"/>
          <w:lang w:eastAsia="zh-CN"/>
        </w:rPr>
      </w:pPr>
      <w:r w:rsidRPr="008C2F68">
        <w:rPr>
          <w:rFonts w:hint="eastAsia"/>
          <w:sz w:val="22"/>
          <w:szCs w:val="22"/>
          <w:lang w:eastAsia="zh-CN"/>
        </w:rPr>
        <w:t xml:space="preserve">The revenue of </w:t>
      </w:r>
      <w:proofErr w:type="spellStart"/>
      <w:r w:rsidRPr="008C2F68">
        <w:rPr>
          <w:rFonts w:hint="eastAsia"/>
          <w:sz w:val="22"/>
          <w:szCs w:val="22"/>
          <w:lang w:eastAsia="zh-CN"/>
        </w:rPr>
        <w:t>oleochemical</w:t>
      </w:r>
      <w:proofErr w:type="spellEnd"/>
      <w:r w:rsidRPr="008C2F68">
        <w:rPr>
          <w:rFonts w:hint="eastAsia"/>
          <w:sz w:val="22"/>
          <w:szCs w:val="22"/>
          <w:lang w:eastAsia="zh-CN"/>
        </w:rPr>
        <w:t xml:space="preserve"> </w:t>
      </w:r>
      <w:r w:rsidRPr="008C2F68">
        <w:rPr>
          <w:sz w:val="22"/>
          <w:szCs w:val="22"/>
          <w:lang w:eastAsia="zh-CN"/>
        </w:rPr>
        <w:t>division</w:t>
      </w:r>
      <w:r w:rsidRPr="008C2F68">
        <w:rPr>
          <w:rFonts w:hint="eastAsia"/>
          <w:sz w:val="22"/>
          <w:szCs w:val="22"/>
          <w:lang w:eastAsia="zh-CN"/>
        </w:rPr>
        <w:t xml:space="preserve"> had decreased by RM</w:t>
      </w:r>
      <w:r w:rsidR="00A066DF" w:rsidRPr="008C2F68">
        <w:rPr>
          <w:sz w:val="22"/>
          <w:szCs w:val="22"/>
          <w:lang w:eastAsia="zh-CN"/>
        </w:rPr>
        <w:t>3.602</w:t>
      </w:r>
      <w:r w:rsidRPr="008C2F68">
        <w:rPr>
          <w:rFonts w:hint="eastAsia"/>
          <w:sz w:val="22"/>
          <w:szCs w:val="22"/>
          <w:lang w:eastAsia="zh-CN"/>
        </w:rPr>
        <w:t xml:space="preserve"> million, </w:t>
      </w:r>
      <w:r w:rsidR="002E1BA8" w:rsidRPr="008C2F68">
        <w:rPr>
          <w:rFonts w:hint="eastAsia"/>
          <w:sz w:val="22"/>
          <w:szCs w:val="22"/>
          <w:lang w:eastAsia="zh-CN"/>
        </w:rPr>
        <w:t>from RM</w:t>
      </w:r>
      <w:r w:rsidR="00A066DF" w:rsidRPr="008C2F68">
        <w:rPr>
          <w:sz w:val="22"/>
          <w:szCs w:val="22"/>
          <w:lang w:eastAsia="zh-CN"/>
        </w:rPr>
        <w:t>14.687</w:t>
      </w:r>
      <w:r w:rsidRPr="008C2F68">
        <w:rPr>
          <w:rFonts w:hint="eastAsia"/>
          <w:sz w:val="22"/>
          <w:szCs w:val="22"/>
          <w:lang w:eastAsia="zh-CN"/>
        </w:rPr>
        <w:t xml:space="preserve"> million to RM</w:t>
      </w:r>
      <w:r w:rsidR="00A066DF" w:rsidRPr="008C2F68">
        <w:rPr>
          <w:sz w:val="22"/>
          <w:szCs w:val="22"/>
          <w:lang w:eastAsia="zh-CN"/>
        </w:rPr>
        <w:t>11.085</w:t>
      </w:r>
      <w:r w:rsidRPr="008C2F68">
        <w:rPr>
          <w:rFonts w:hint="eastAsia"/>
          <w:sz w:val="22"/>
          <w:szCs w:val="22"/>
          <w:lang w:eastAsia="zh-CN"/>
        </w:rPr>
        <w:t xml:space="preserve"> million</w:t>
      </w:r>
      <w:r w:rsidRPr="008C2F68">
        <w:rPr>
          <w:sz w:val="22"/>
          <w:szCs w:val="22"/>
          <w:lang w:eastAsia="zh-CN"/>
        </w:rPr>
        <w:t>. This</w:t>
      </w:r>
      <w:r w:rsidRPr="008C2F68">
        <w:rPr>
          <w:rFonts w:hint="eastAsia"/>
          <w:sz w:val="22"/>
          <w:szCs w:val="22"/>
          <w:lang w:eastAsia="zh-CN"/>
        </w:rPr>
        <w:t xml:space="preserve"> was due mainly to the reduction</w:t>
      </w:r>
      <w:r w:rsidR="00321E0B" w:rsidRPr="008C2F68">
        <w:rPr>
          <w:sz w:val="22"/>
          <w:szCs w:val="22"/>
          <w:lang w:eastAsia="zh-CN"/>
        </w:rPr>
        <w:t xml:space="preserve"> in sales volume </w:t>
      </w:r>
      <w:r w:rsidR="004F0392" w:rsidRPr="008C2F68">
        <w:rPr>
          <w:sz w:val="22"/>
          <w:szCs w:val="22"/>
          <w:lang w:eastAsia="zh-CN"/>
        </w:rPr>
        <w:t xml:space="preserve">by </w:t>
      </w:r>
      <w:r w:rsidR="00321E0B" w:rsidRPr="008C2F68">
        <w:rPr>
          <w:sz w:val="22"/>
          <w:szCs w:val="22"/>
          <w:lang w:eastAsia="zh-CN"/>
        </w:rPr>
        <w:t xml:space="preserve">401 metric </w:t>
      </w:r>
      <w:proofErr w:type="spellStart"/>
      <w:r w:rsidR="00321E0B" w:rsidRPr="008C2F68">
        <w:rPr>
          <w:sz w:val="22"/>
          <w:szCs w:val="22"/>
          <w:lang w:eastAsia="zh-CN"/>
        </w:rPr>
        <w:t>tonnes</w:t>
      </w:r>
      <w:proofErr w:type="spellEnd"/>
      <w:r w:rsidR="00B07FFD" w:rsidRPr="008C2F68">
        <w:rPr>
          <w:sz w:val="22"/>
          <w:szCs w:val="22"/>
          <w:lang w:eastAsia="zh-CN"/>
        </w:rPr>
        <w:t xml:space="preserve"> coupled with</w:t>
      </w:r>
      <w:r w:rsidR="00E25463" w:rsidRPr="008C2F68">
        <w:rPr>
          <w:sz w:val="22"/>
          <w:szCs w:val="22"/>
          <w:lang w:eastAsia="zh-CN"/>
        </w:rPr>
        <w:t xml:space="preserve"> </w:t>
      </w:r>
      <w:r w:rsidR="00B07FFD" w:rsidRPr="008C2F68">
        <w:rPr>
          <w:sz w:val="22"/>
          <w:szCs w:val="22"/>
          <w:lang w:eastAsia="zh-CN"/>
        </w:rPr>
        <w:t>a change in sales mix</w:t>
      </w:r>
      <w:r w:rsidR="00AA040C" w:rsidRPr="008C2F68">
        <w:rPr>
          <w:sz w:val="22"/>
          <w:szCs w:val="22"/>
          <w:lang w:eastAsia="zh-CN"/>
        </w:rPr>
        <w:t>.</w:t>
      </w:r>
    </w:p>
    <w:p w:rsidR="004C5326" w:rsidRPr="008C2F68" w:rsidRDefault="00AA040C" w:rsidP="004C5326">
      <w:pPr>
        <w:pStyle w:val="BlockText"/>
        <w:tabs>
          <w:tab w:val="left" w:pos="720"/>
          <w:tab w:val="left" w:pos="7470"/>
        </w:tabs>
        <w:ind w:left="720" w:right="0"/>
        <w:rPr>
          <w:sz w:val="22"/>
          <w:szCs w:val="22"/>
          <w:lang w:eastAsia="zh-CN"/>
        </w:rPr>
      </w:pPr>
      <w:r w:rsidRPr="008C2F68">
        <w:rPr>
          <w:sz w:val="22"/>
          <w:szCs w:val="22"/>
          <w:lang w:eastAsia="zh-CN"/>
        </w:rPr>
        <w:t xml:space="preserve"> </w:t>
      </w:r>
    </w:p>
    <w:p w:rsidR="004C5326" w:rsidRPr="008C2F68" w:rsidRDefault="004C5326" w:rsidP="004C5326">
      <w:pPr>
        <w:pStyle w:val="BlockText"/>
        <w:tabs>
          <w:tab w:val="left" w:pos="720"/>
          <w:tab w:val="left" w:pos="7470"/>
        </w:tabs>
        <w:ind w:left="720" w:right="0"/>
        <w:rPr>
          <w:sz w:val="22"/>
          <w:szCs w:val="22"/>
          <w:u w:val="single"/>
          <w:lang w:eastAsia="zh-CN"/>
        </w:rPr>
      </w:pPr>
      <w:r w:rsidRPr="008C2F68">
        <w:rPr>
          <w:rFonts w:hint="eastAsia"/>
          <w:sz w:val="22"/>
          <w:szCs w:val="22"/>
          <w:u w:val="single"/>
          <w:lang w:eastAsia="zh-CN"/>
        </w:rPr>
        <w:t>Investment holding</w:t>
      </w:r>
    </w:p>
    <w:p w:rsidR="004C5326" w:rsidRPr="008C2F68" w:rsidRDefault="004C5326" w:rsidP="004C5326">
      <w:pPr>
        <w:pStyle w:val="BlockText"/>
        <w:tabs>
          <w:tab w:val="left" w:pos="720"/>
          <w:tab w:val="left" w:pos="7470"/>
        </w:tabs>
        <w:ind w:left="720" w:right="0"/>
        <w:rPr>
          <w:sz w:val="22"/>
          <w:szCs w:val="22"/>
          <w:lang w:eastAsia="zh-CN"/>
        </w:rPr>
      </w:pPr>
      <w:r w:rsidRPr="008C2F68">
        <w:rPr>
          <w:rFonts w:hint="eastAsia"/>
          <w:sz w:val="22"/>
          <w:szCs w:val="22"/>
          <w:lang w:eastAsia="zh-CN"/>
        </w:rPr>
        <w:t xml:space="preserve">No significant changes. </w:t>
      </w:r>
    </w:p>
    <w:p w:rsidR="004F0392" w:rsidRPr="008C2F68" w:rsidRDefault="004F0392" w:rsidP="004F0392">
      <w:pPr>
        <w:pStyle w:val="BlockText"/>
        <w:tabs>
          <w:tab w:val="left" w:pos="720"/>
          <w:tab w:val="left" w:pos="7470"/>
        </w:tabs>
        <w:ind w:left="720" w:right="0"/>
        <w:rPr>
          <w:sz w:val="22"/>
          <w:szCs w:val="22"/>
          <w:lang w:eastAsia="zh-CN"/>
        </w:rPr>
      </w:pPr>
    </w:p>
    <w:p w:rsidR="005B5743" w:rsidRPr="008C2F68" w:rsidRDefault="005B5743" w:rsidP="005B5743">
      <w:pPr>
        <w:spacing w:line="235" w:lineRule="auto"/>
        <w:jc w:val="both"/>
        <w:rPr>
          <w:szCs w:val="22"/>
          <w:lang w:eastAsia="zh-CN"/>
        </w:rPr>
      </w:pPr>
      <w:r w:rsidRPr="008C2F68">
        <w:rPr>
          <w:szCs w:val="22"/>
          <w:lang w:eastAsia="zh-CN"/>
        </w:rPr>
        <w:br w:type="page"/>
      </w:r>
    </w:p>
    <w:p w:rsidR="005B5743" w:rsidRPr="008C2F68" w:rsidRDefault="005B5743" w:rsidP="005B5743">
      <w:pPr>
        <w:tabs>
          <w:tab w:val="clear" w:pos="720"/>
          <w:tab w:val="clear" w:pos="1440"/>
        </w:tabs>
        <w:rPr>
          <w:szCs w:val="22"/>
          <w:lang w:eastAsia="zh-CN"/>
        </w:rPr>
      </w:pPr>
    </w:p>
    <w:p w:rsidR="005B5743" w:rsidRPr="008C2F68" w:rsidRDefault="005B5743" w:rsidP="005B5743">
      <w:pPr>
        <w:pStyle w:val="BlockText"/>
        <w:ind w:left="0" w:right="0"/>
        <w:rPr>
          <w:sz w:val="22"/>
          <w:szCs w:val="22"/>
        </w:rPr>
      </w:pPr>
      <w:r w:rsidRPr="008C2F68">
        <w:rPr>
          <w:sz w:val="22"/>
          <w:szCs w:val="22"/>
          <w:lang w:eastAsia="zh-CN"/>
        </w:rPr>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Before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BB27B2" w:rsidRPr="008C2F68" w:rsidTr="00157179">
        <w:tc>
          <w:tcPr>
            <w:tcW w:w="2790" w:type="dxa"/>
            <w:tcBorders>
              <w:top w:val="nil"/>
              <w:left w:val="single" w:sz="4" w:space="0" w:color="auto"/>
              <w:bottom w:val="nil"/>
              <w:right w:val="single" w:sz="4" w:space="0" w:color="auto"/>
            </w:tcBorders>
            <w:shd w:val="clear" w:color="auto" w:fill="auto"/>
          </w:tcPr>
          <w:p w:rsidR="00BB27B2" w:rsidRPr="008C2F68" w:rsidRDefault="00BB27B2" w:rsidP="00157179">
            <w:pPr>
              <w:pStyle w:val="BodyText"/>
              <w:spacing w:line="235" w:lineRule="auto"/>
              <w:rPr>
                <w:szCs w:val="22"/>
              </w:rPr>
            </w:pPr>
          </w:p>
        </w:tc>
        <w:tc>
          <w:tcPr>
            <w:tcW w:w="1710" w:type="dxa"/>
            <w:tcBorders>
              <w:left w:val="single" w:sz="4" w:space="0" w:color="auto"/>
            </w:tcBorders>
            <w:shd w:val="clear" w:color="auto" w:fill="auto"/>
          </w:tcPr>
          <w:p w:rsidR="00BB27B2" w:rsidRPr="008C2F68" w:rsidRDefault="00F45D28" w:rsidP="006B2473">
            <w:pPr>
              <w:pStyle w:val="BodyText"/>
              <w:tabs>
                <w:tab w:val="clear" w:pos="1080"/>
              </w:tabs>
              <w:spacing w:line="235" w:lineRule="auto"/>
              <w:jc w:val="center"/>
              <w:rPr>
                <w:b/>
                <w:bCs/>
                <w:szCs w:val="22"/>
                <w:lang w:eastAsia="zh-CN"/>
              </w:rPr>
            </w:pPr>
            <w:r w:rsidRPr="008C2F68">
              <w:rPr>
                <w:b/>
                <w:bCs/>
                <w:szCs w:val="22"/>
                <w:lang w:eastAsia="zh-CN"/>
              </w:rPr>
              <w:t>30</w:t>
            </w:r>
            <w:r w:rsidR="00BB27B2" w:rsidRPr="008C2F68">
              <w:rPr>
                <w:b/>
                <w:bCs/>
                <w:szCs w:val="22"/>
                <w:lang w:eastAsia="zh-CN"/>
              </w:rPr>
              <w:t>.</w:t>
            </w:r>
            <w:r w:rsidRPr="008C2F68">
              <w:rPr>
                <w:b/>
                <w:bCs/>
                <w:szCs w:val="22"/>
                <w:lang w:eastAsia="zh-CN"/>
              </w:rPr>
              <w:t>0</w:t>
            </w:r>
            <w:r w:rsidR="006B2473" w:rsidRPr="008C2F68">
              <w:rPr>
                <w:b/>
                <w:bCs/>
                <w:szCs w:val="22"/>
                <w:lang w:eastAsia="zh-CN"/>
              </w:rPr>
              <w:t>9</w:t>
            </w:r>
            <w:r w:rsidR="00BB27B2" w:rsidRPr="008C2F68">
              <w:rPr>
                <w:b/>
                <w:bCs/>
                <w:szCs w:val="22"/>
                <w:lang w:eastAsia="zh-CN"/>
              </w:rPr>
              <w:t>.201</w:t>
            </w:r>
            <w:r w:rsidRPr="008C2F68">
              <w:rPr>
                <w:b/>
                <w:bCs/>
                <w:szCs w:val="22"/>
                <w:lang w:eastAsia="zh-CN"/>
              </w:rPr>
              <w:t>3</w:t>
            </w:r>
          </w:p>
        </w:tc>
        <w:tc>
          <w:tcPr>
            <w:tcW w:w="1890" w:type="dxa"/>
            <w:shd w:val="clear" w:color="auto" w:fill="auto"/>
          </w:tcPr>
          <w:p w:rsidR="00BB27B2" w:rsidRPr="008C2F68" w:rsidRDefault="00BB27B2" w:rsidP="00F5799D">
            <w:pPr>
              <w:pStyle w:val="BodyText"/>
              <w:tabs>
                <w:tab w:val="clear" w:pos="1080"/>
              </w:tabs>
              <w:spacing w:line="235" w:lineRule="auto"/>
              <w:jc w:val="center"/>
              <w:rPr>
                <w:b/>
                <w:bCs/>
                <w:szCs w:val="22"/>
                <w:lang w:eastAsia="zh-CN"/>
              </w:rPr>
            </w:pPr>
            <w:r w:rsidRPr="008C2F68">
              <w:rPr>
                <w:b/>
                <w:bCs/>
                <w:szCs w:val="22"/>
                <w:lang w:eastAsia="zh-CN"/>
              </w:rPr>
              <w:t>3</w:t>
            </w:r>
            <w:r w:rsidR="00F5799D" w:rsidRPr="008C2F68">
              <w:rPr>
                <w:b/>
                <w:bCs/>
                <w:szCs w:val="22"/>
                <w:lang w:eastAsia="zh-CN"/>
              </w:rPr>
              <w:t>0</w:t>
            </w:r>
            <w:r w:rsidRPr="008C2F68">
              <w:rPr>
                <w:b/>
                <w:bCs/>
                <w:szCs w:val="22"/>
                <w:lang w:eastAsia="zh-CN"/>
              </w:rPr>
              <w:t>.0</w:t>
            </w:r>
            <w:r w:rsidR="00F5799D" w:rsidRPr="008C2F68">
              <w:rPr>
                <w:b/>
                <w:bCs/>
                <w:szCs w:val="22"/>
                <w:lang w:eastAsia="zh-CN"/>
              </w:rPr>
              <w:t>6</w:t>
            </w:r>
            <w:r w:rsidRPr="008C2F68">
              <w:rPr>
                <w:b/>
                <w:bCs/>
                <w:szCs w:val="22"/>
                <w:lang w:eastAsia="zh-CN"/>
              </w:rPr>
              <w:t>.201</w:t>
            </w:r>
            <w:r w:rsidR="00F45D28" w:rsidRPr="008C2F68">
              <w:rPr>
                <w:b/>
                <w:bCs/>
                <w:szCs w:val="22"/>
                <w:lang w:eastAsia="zh-CN"/>
              </w:rPr>
              <w:t>3</w:t>
            </w:r>
          </w:p>
        </w:tc>
        <w:tc>
          <w:tcPr>
            <w:tcW w:w="1710" w:type="dxa"/>
            <w:shd w:val="clear" w:color="auto" w:fill="auto"/>
          </w:tcPr>
          <w:p w:rsidR="00BB27B2" w:rsidRPr="008C2F68" w:rsidRDefault="00BB27B2"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BB27B2" w:rsidRPr="008C2F68" w:rsidRDefault="00BB27B2" w:rsidP="00157179">
            <w:pPr>
              <w:pStyle w:val="BodyText"/>
              <w:spacing w:line="235" w:lineRule="auto"/>
              <w:jc w:val="center"/>
              <w:rPr>
                <w:b/>
                <w:bCs/>
                <w:iCs/>
                <w:szCs w:val="22"/>
              </w:rPr>
            </w:pPr>
            <w:r w:rsidRPr="008C2F68">
              <w:rPr>
                <w:b/>
                <w:bCs/>
                <w:iCs/>
                <w:szCs w:val="22"/>
              </w:rPr>
              <w:t>%</w:t>
            </w:r>
          </w:p>
        </w:tc>
      </w:tr>
      <w:tr w:rsidR="00BB27B2" w:rsidRPr="008C2F68" w:rsidTr="00157179">
        <w:tc>
          <w:tcPr>
            <w:tcW w:w="2790" w:type="dxa"/>
            <w:tcBorders>
              <w:top w:val="nil"/>
              <w:left w:val="single" w:sz="4" w:space="0" w:color="auto"/>
              <w:bottom w:val="single" w:sz="4" w:space="0" w:color="auto"/>
              <w:right w:val="single" w:sz="4" w:space="0" w:color="auto"/>
            </w:tcBorders>
            <w:shd w:val="clear" w:color="auto" w:fill="auto"/>
          </w:tcPr>
          <w:p w:rsidR="00BB27B2" w:rsidRPr="008C2F68" w:rsidRDefault="00BB27B2" w:rsidP="00157179">
            <w:pPr>
              <w:pStyle w:val="BodyText"/>
              <w:spacing w:line="235" w:lineRule="auto"/>
              <w:rPr>
                <w:szCs w:val="22"/>
              </w:rPr>
            </w:pPr>
          </w:p>
        </w:tc>
        <w:tc>
          <w:tcPr>
            <w:tcW w:w="1710" w:type="dxa"/>
            <w:tcBorders>
              <w:left w:val="single" w:sz="4" w:space="0" w:color="auto"/>
            </w:tcBorders>
            <w:shd w:val="clear" w:color="auto" w:fill="auto"/>
          </w:tcPr>
          <w:p w:rsidR="00BB27B2" w:rsidRPr="008C2F68" w:rsidRDefault="00BB27B2" w:rsidP="00157179">
            <w:pPr>
              <w:pStyle w:val="BodyText"/>
              <w:spacing w:line="235" w:lineRule="auto"/>
              <w:jc w:val="center"/>
              <w:rPr>
                <w:b/>
                <w:szCs w:val="22"/>
              </w:rPr>
            </w:pPr>
            <w:r w:rsidRPr="008C2F68">
              <w:rPr>
                <w:b/>
                <w:szCs w:val="22"/>
              </w:rPr>
              <w:t>RM’000</w:t>
            </w:r>
          </w:p>
        </w:tc>
        <w:tc>
          <w:tcPr>
            <w:tcW w:w="1890" w:type="dxa"/>
            <w:shd w:val="clear" w:color="auto" w:fill="auto"/>
          </w:tcPr>
          <w:p w:rsidR="00BB27B2" w:rsidRPr="008C2F68" w:rsidRDefault="00BB27B2" w:rsidP="006B5C95">
            <w:pPr>
              <w:pStyle w:val="BodyText"/>
              <w:spacing w:line="235" w:lineRule="auto"/>
              <w:jc w:val="center"/>
              <w:rPr>
                <w:b/>
                <w:szCs w:val="22"/>
              </w:rPr>
            </w:pPr>
            <w:r w:rsidRPr="008C2F68">
              <w:rPr>
                <w:b/>
                <w:szCs w:val="22"/>
              </w:rPr>
              <w:t>RM’000</w:t>
            </w:r>
          </w:p>
        </w:tc>
        <w:tc>
          <w:tcPr>
            <w:tcW w:w="1710" w:type="dxa"/>
            <w:shd w:val="clear" w:color="auto" w:fill="auto"/>
          </w:tcPr>
          <w:p w:rsidR="00BB27B2" w:rsidRPr="008C2F68" w:rsidRDefault="00BB27B2" w:rsidP="00157179">
            <w:pPr>
              <w:pStyle w:val="BodyText"/>
              <w:spacing w:line="235" w:lineRule="auto"/>
              <w:jc w:val="center"/>
              <w:rPr>
                <w:b/>
                <w:szCs w:val="22"/>
              </w:rPr>
            </w:pPr>
            <w:r w:rsidRPr="008C2F68">
              <w:rPr>
                <w:b/>
                <w:szCs w:val="22"/>
              </w:rPr>
              <w:t>RM’000</w:t>
            </w:r>
          </w:p>
        </w:tc>
        <w:tc>
          <w:tcPr>
            <w:tcW w:w="1352" w:type="dxa"/>
            <w:vMerge/>
            <w:shd w:val="clear" w:color="auto" w:fill="auto"/>
          </w:tcPr>
          <w:p w:rsidR="00BB27B2" w:rsidRPr="008C2F68" w:rsidRDefault="00BB27B2" w:rsidP="00157179">
            <w:pPr>
              <w:pStyle w:val="BodyText"/>
              <w:spacing w:line="235" w:lineRule="auto"/>
              <w:jc w:val="center"/>
              <w:rPr>
                <w:szCs w:val="22"/>
              </w:rPr>
            </w:pPr>
          </w:p>
        </w:tc>
      </w:tr>
      <w:tr w:rsidR="00C572AE" w:rsidRPr="008C2F68" w:rsidTr="00157179">
        <w:tc>
          <w:tcPr>
            <w:tcW w:w="2790" w:type="dxa"/>
            <w:tcBorders>
              <w:top w:val="single" w:sz="4" w:space="0" w:color="auto"/>
            </w:tcBorders>
            <w:shd w:val="clear" w:color="auto" w:fill="auto"/>
          </w:tcPr>
          <w:p w:rsidR="00C572AE" w:rsidRPr="008C2F68" w:rsidRDefault="00C572AE" w:rsidP="00157179">
            <w:pPr>
              <w:pStyle w:val="BodyText"/>
              <w:spacing w:line="235" w:lineRule="auto"/>
              <w:rPr>
                <w:szCs w:val="22"/>
              </w:rPr>
            </w:pPr>
            <w:r w:rsidRPr="008C2F68">
              <w:rPr>
                <w:szCs w:val="22"/>
              </w:rPr>
              <w:t>Revenue</w:t>
            </w:r>
          </w:p>
        </w:tc>
        <w:tc>
          <w:tcPr>
            <w:tcW w:w="1710" w:type="dxa"/>
            <w:shd w:val="clear" w:color="auto" w:fill="auto"/>
          </w:tcPr>
          <w:p w:rsidR="00C572AE" w:rsidRPr="008C2F68" w:rsidRDefault="00623785" w:rsidP="006B5C95">
            <w:pPr>
              <w:pStyle w:val="BodyText"/>
              <w:spacing w:line="235" w:lineRule="auto"/>
              <w:jc w:val="center"/>
              <w:rPr>
                <w:szCs w:val="22"/>
                <w:lang w:eastAsia="zh-CN"/>
              </w:rPr>
            </w:pPr>
            <w:r w:rsidRPr="008C2F68">
              <w:rPr>
                <w:szCs w:val="22"/>
                <w:lang w:eastAsia="zh-CN"/>
              </w:rPr>
              <w:t>32,129</w:t>
            </w:r>
          </w:p>
        </w:tc>
        <w:tc>
          <w:tcPr>
            <w:tcW w:w="1890" w:type="dxa"/>
            <w:shd w:val="clear" w:color="auto" w:fill="auto"/>
          </w:tcPr>
          <w:p w:rsidR="00C572AE" w:rsidRPr="008C2F68" w:rsidRDefault="00F5799D" w:rsidP="006B5C95">
            <w:pPr>
              <w:pStyle w:val="BodyText"/>
              <w:spacing w:line="235" w:lineRule="auto"/>
              <w:jc w:val="center"/>
              <w:rPr>
                <w:szCs w:val="22"/>
                <w:lang w:eastAsia="zh-CN"/>
              </w:rPr>
            </w:pPr>
            <w:r w:rsidRPr="008C2F68">
              <w:rPr>
                <w:szCs w:val="22"/>
                <w:lang w:eastAsia="zh-CN"/>
              </w:rPr>
              <w:t>33,460</w:t>
            </w:r>
          </w:p>
        </w:tc>
        <w:tc>
          <w:tcPr>
            <w:tcW w:w="1710" w:type="dxa"/>
            <w:shd w:val="clear" w:color="auto" w:fill="auto"/>
          </w:tcPr>
          <w:p w:rsidR="00C572AE" w:rsidRPr="008C2F68" w:rsidRDefault="00267F47" w:rsidP="00E00A1A">
            <w:pPr>
              <w:pStyle w:val="BodyText"/>
              <w:spacing w:line="235" w:lineRule="auto"/>
              <w:jc w:val="center"/>
              <w:rPr>
                <w:szCs w:val="22"/>
                <w:lang w:eastAsia="zh-CN"/>
              </w:rPr>
            </w:pPr>
            <w:r w:rsidRPr="008C2F68">
              <w:rPr>
                <w:szCs w:val="22"/>
                <w:lang w:eastAsia="zh-CN"/>
              </w:rPr>
              <w:t>(1,331</w:t>
            </w:r>
            <w:r w:rsidR="00C572AE" w:rsidRPr="008C2F68">
              <w:rPr>
                <w:szCs w:val="22"/>
                <w:lang w:eastAsia="zh-CN"/>
              </w:rPr>
              <w:t>)</w:t>
            </w:r>
          </w:p>
        </w:tc>
        <w:tc>
          <w:tcPr>
            <w:tcW w:w="1352" w:type="dxa"/>
            <w:shd w:val="clear" w:color="auto" w:fill="auto"/>
          </w:tcPr>
          <w:p w:rsidR="00C572AE" w:rsidRPr="008C2F68" w:rsidRDefault="00C572AE" w:rsidP="00267F47">
            <w:pPr>
              <w:pStyle w:val="BodyText"/>
              <w:spacing w:line="235" w:lineRule="auto"/>
              <w:jc w:val="center"/>
              <w:rPr>
                <w:szCs w:val="22"/>
                <w:lang w:eastAsia="zh-CN"/>
              </w:rPr>
            </w:pPr>
            <w:r w:rsidRPr="008C2F68">
              <w:rPr>
                <w:szCs w:val="22"/>
                <w:lang w:eastAsia="zh-CN"/>
              </w:rPr>
              <w:t>(</w:t>
            </w:r>
            <w:r w:rsidR="00267F47" w:rsidRPr="008C2F68">
              <w:rPr>
                <w:szCs w:val="22"/>
                <w:lang w:eastAsia="zh-CN"/>
              </w:rPr>
              <w:t>3.98</w:t>
            </w:r>
            <w:r w:rsidRPr="008C2F68">
              <w:rPr>
                <w:szCs w:val="22"/>
                <w:lang w:eastAsia="zh-CN"/>
              </w:rPr>
              <w:t>)</w:t>
            </w:r>
          </w:p>
        </w:tc>
      </w:tr>
      <w:tr w:rsidR="00C572AE" w:rsidRPr="008C2F68" w:rsidTr="00157179">
        <w:tc>
          <w:tcPr>
            <w:tcW w:w="2790" w:type="dxa"/>
            <w:shd w:val="clear" w:color="auto" w:fill="auto"/>
          </w:tcPr>
          <w:p w:rsidR="00C572AE" w:rsidRPr="008C2F68" w:rsidRDefault="00C572AE" w:rsidP="00157179">
            <w:pPr>
              <w:pStyle w:val="BodyText"/>
              <w:spacing w:line="235" w:lineRule="auto"/>
              <w:rPr>
                <w:szCs w:val="22"/>
              </w:rPr>
            </w:pPr>
            <w:r w:rsidRPr="008C2F68">
              <w:rPr>
                <w:szCs w:val="22"/>
              </w:rPr>
              <w:t xml:space="preserve">Profit before tax </w:t>
            </w:r>
          </w:p>
        </w:tc>
        <w:tc>
          <w:tcPr>
            <w:tcW w:w="1710" w:type="dxa"/>
            <w:shd w:val="clear" w:color="auto" w:fill="auto"/>
          </w:tcPr>
          <w:p w:rsidR="00C572AE" w:rsidRPr="008C2F68" w:rsidRDefault="00267F47" w:rsidP="006B5C95">
            <w:pPr>
              <w:pStyle w:val="BodyText"/>
              <w:tabs>
                <w:tab w:val="clear" w:pos="1080"/>
                <w:tab w:val="left" w:pos="1152"/>
              </w:tabs>
              <w:spacing w:line="235" w:lineRule="auto"/>
              <w:jc w:val="center"/>
              <w:rPr>
                <w:szCs w:val="22"/>
                <w:lang w:eastAsia="zh-CN"/>
              </w:rPr>
            </w:pPr>
            <w:r w:rsidRPr="008C2F68">
              <w:rPr>
                <w:szCs w:val="22"/>
                <w:lang w:eastAsia="zh-CN"/>
              </w:rPr>
              <w:t>2,899</w:t>
            </w:r>
          </w:p>
        </w:tc>
        <w:tc>
          <w:tcPr>
            <w:tcW w:w="1890" w:type="dxa"/>
            <w:shd w:val="clear" w:color="auto" w:fill="auto"/>
          </w:tcPr>
          <w:p w:rsidR="00C572AE" w:rsidRPr="008C2F68" w:rsidRDefault="00F5799D" w:rsidP="006B5C95">
            <w:pPr>
              <w:pStyle w:val="BodyText"/>
              <w:tabs>
                <w:tab w:val="clear" w:pos="1080"/>
                <w:tab w:val="left" w:pos="1152"/>
              </w:tabs>
              <w:spacing w:line="235" w:lineRule="auto"/>
              <w:jc w:val="center"/>
              <w:rPr>
                <w:szCs w:val="22"/>
                <w:lang w:eastAsia="zh-CN"/>
              </w:rPr>
            </w:pPr>
            <w:r w:rsidRPr="008C2F68">
              <w:rPr>
                <w:szCs w:val="22"/>
                <w:lang w:eastAsia="zh-CN"/>
              </w:rPr>
              <w:t>2,622</w:t>
            </w:r>
          </w:p>
        </w:tc>
        <w:tc>
          <w:tcPr>
            <w:tcW w:w="1710" w:type="dxa"/>
            <w:shd w:val="clear" w:color="auto" w:fill="auto"/>
          </w:tcPr>
          <w:p w:rsidR="00C572AE" w:rsidRPr="008C2F68" w:rsidRDefault="00267F47" w:rsidP="00157179">
            <w:pPr>
              <w:pStyle w:val="BodyText"/>
              <w:spacing w:line="235" w:lineRule="auto"/>
              <w:jc w:val="center"/>
              <w:rPr>
                <w:szCs w:val="22"/>
                <w:lang w:eastAsia="zh-CN"/>
              </w:rPr>
            </w:pPr>
            <w:r w:rsidRPr="008C2F68">
              <w:rPr>
                <w:szCs w:val="22"/>
                <w:lang w:eastAsia="zh-CN"/>
              </w:rPr>
              <w:t>277</w:t>
            </w:r>
          </w:p>
        </w:tc>
        <w:tc>
          <w:tcPr>
            <w:tcW w:w="1352" w:type="dxa"/>
            <w:shd w:val="clear" w:color="auto" w:fill="auto"/>
          </w:tcPr>
          <w:p w:rsidR="00C572AE" w:rsidRPr="008C2F68" w:rsidRDefault="00267F47" w:rsidP="00687B62">
            <w:pPr>
              <w:pStyle w:val="BodyText"/>
              <w:spacing w:line="235" w:lineRule="auto"/>
              <w:jc w:val="center"/>
              <w:rPr>
                <w:szCs w:val="22"/>
                <w:lang w:eastAsia="zh-CN"/>
              </w:rPr>
            </w:pPr>
            <w:r w:rsidRPr="008C2F68">
              <w:rPr>
                <w:szCs w:val="22"/>
                <w:lang w:eastAsia="zh-CN"/>
              </w:rPr>
              <w:t>10.56</w:t>
            </w:r>
          </w:p>
        </w:tc>
      </w:tr>
    </w:tbl>
    <w:p w:rsidR="005B5743" w:rsidRPr="008C2F68" w:rsidRDefault="005B5743" w:rsidP="005B5743">
      <w:pPr>
        <w:pStyle w:val="Heading2"/>
        <w:spacing w:line="235" w:lineRule="auto"/>
        <w:ind w:left="720"/>
        <w:rPr>
          <w:sz w:val="22"/>
          <w:szCs w:val="22"/>
          <w:lang w:eastAsia="zh-CN"/>
        </w:rPr>
      </w:pPr>
    </w:p>
    <w:p w:rsidR="005B5743" w:rsidRPr="008C2F68" w:rsidRDefault="00AA040C" w:rsidP="005B5743">
      <w:pPr>
        <w:ind w:left="720"/>
        <w:jc w:val="both"/>
        <w:rPr>
          <w:szCs w:val="22"/>
          <w:lang w:eastAsia="zh-CN"/>
        </w:rPr>
      </w:pPr>
      <w:r w:rsidRPr="008C2F68">
        <w:rPr>
          <w:szCs w:val="22"/>
          <w:lang w:eastAsia="zh-CN"/>
        </w:rPr>
        <w:t>Notwithstanding the decrease in revenue</w:t>
      </w:r>
      <w:r w:rsidR="00297FF9" w:rsidRPr="008C2F68">
        <w:rPr>
          <w:szCs w:val="22"/>
          <w:lang w:eastAsia="zh-CN"/>
        </w:rPr>
        <w:t xml:space="preserve"> of RM1.331 million or 3.98% as compared to preceding quarter ended 30 June 2013</w:t>
      </w:r>
      <w:r w:rsidRPr="008C2F68">
        <w:rPr>
          <w:szCs w:val="22"/>
          <w:lang w:eastAsia="zh-CN"/>
        </w:rPr>
        <w:t>, t</w:t>
      </w:r>
      <w:r w:rsidR="005B5743" w:rsidRPr="008C2F68">
        <w:rPr>
          <w:rFonts w:hint="eastAsia"/>
          <w:szCs w:val="22"/>
          <w:lang w:eastAsia="zh-CN"/>
        </w:rPr>
        <w:t>he Group</w:t>
      </w:r>
      <w:r w:rsidR="005B5743" w:rsidRPr="008C2F68">
        <w:rPr>
          <w:szCs w:val="22"/>
          <w:lang w:eastAsia="zh-CN"/>
        </w:rPr>
        <w:t>’</w:t>
      </w:r>
      <w:r w:rsidR="005B5743" w:rsidRPr="008C2F68">
        <w:rPr>
          <w:rFonts w:hint="eastAsia"/>
          <w:szCs w:val="22"/>
          <w:lang w:eastAsia="zh-CN"/>
        </w:rPr>
        <w:t>s profit before tax of RM</w:t>
      </w:r>
      <w:r w:rsidR="00B40C96" w:rsidRPr="008C2F68">
        <w:rPr>
          <w:szCs w:val="22"/>
          <w:lang w:eastAsia="zh-CN"/>
        </w:rPr>
        <w:t>2.</w:t>
      </w:r>
      <w:r w:rsidR="000C565E" w:rsidRPr="008C2F68">
        <w:rPr>
          <w:szCs w:val="22"/>
          <w:lang w:eastAsia="zh-CN"/>
        </w:rPr>
        <w:t>899</w:t>
      </w:r>
      <w:r w:rsidR="005B5743" w:rsidRPr="008C2F68">
        <w:rPr>
          <w:rFonts w:hint="eastAsia"/>
          <w:szCs w:val="22"/>
          <w:lang w:eastAsia="zh-CN"/>
        </w:rPr>
        <w:t xml:space="preserve"> million for the </w:t>
      </w:r>
      <w:r w:rsidR="000C565E" w:rsidRPr="008C2F68">
        <w:rPr>
          <w:szCs w:val="22"/>
          <w:lang w:eastAsia="zh-CN"/>
        </w:rPr>
        <w:t>third</w:t>
      </w:r>
      <w:r w:rsidR="005B5743" w:rsidRPr="008C2F68">
        <w:rPr>
          <w:rFonts w:hint="eastAsia"/>
          <w:szCs w:val="22"/>
          <w:lang w:eastAsia="zh-CN"/>
        </w:rPr>
        <w:t xml:space="preserve"> quarter ended </w:t>
      </w:r>
      <w:r w:rsidR="005B5743" w:rsidRPr="008C2F68">
        <w:rPr>
          <w:szCs w:val="22"/>
          <w:lang w:eastAsia="zh-CN"/>
        </w:rPr>
        <w:t>3</w:t>
      </w:r>
      <w:r w:rsidR="0072596C" w:rsidRPr="008C2F68">
        <w:rPr>
          <w:szCs w:val="22"/>
          <w:lang w:eastAsia="zh-CN"/>
        </w:rPr>
        <w:t>0</w:t>
      </w:r>
      <w:r w:rsidR="005B5743" w:rsidRPr="008C2F68">
        <w:rPr>
          <w:szCs w:val="22"/>
          <w:lang w:eastAsia="zh-CN"/>
        </w:rPr>
        <w:t xml:space="preserve"> </w:t>
      </w:r>
      <w:r w:rsidR="000C565E" w:rsidRPr="008C2F68">
        <w:rPr>
          <w:szCs w:val="22"/>
          <w:lang w:eastAsia="zh-CN"/>
        </w:rPr>
        <w:t>September</w:t>
      </w:r>
      <w:r w:rsidR="003230B8" w:rsidRPr="008C2F68">
        <w:rPr>
          <w:szCs w:val="22"/>
          <w:lang w:eastAsia="zh-CN"/>
        </w:rPr>
        <w:t xml:space="preserve"> 2013</w:t>
      </w:r>
      <w:r w:rsidR="003230B8" w:rsidRPr="008C2F68">
        <w:rPr>
          <w:rFonts w:hint="eastAsia"/>
          <w:szCs w:val="22"/>
          <w:lang w:eastAsia="zh-CN"/>
        </w:rPr>
        <w:t xml:space="preserve"> </w:t>
      </w:r>
      <w:r w:rsidRPr="008C2F68">
        <w:rPr>
          <w:szCs w:val="22"/>
          <w:lang w:eastAsia="zh-CN"/>
        </w:rPr>
        <w:t xml:space="preserve">had </w:t>
      </w:r>
      <w:r w:rsidR="005B5743" w:rsidRPr="008C2F68">
        <w:rPr>
          <w:rFonts w:hint="eastAsia"/>
          <w:szCs w:val="22"/>
          <w:lang w:eastAsia="zh-CN"/>
        </w:rPr>
        <w:t>show</w:t>
      </w:r>
      <w:r w:rsidRPr="008C2F68">
        <w:rPr>
          <w:szCs w:val="22"/>
          <w:lang w:eastAsia="zh-CN"/>
        </w:rPr>
        <w:t>n</w:t>
      </w:r>
      <w:r w:rsidR="005B5743" w:rsidRPr="008C2F68">
        <w:rPr>
          <w:rFonts w:hint="eastAsia"/>
          <w:szCs w:val="22"/>
          <w:lang w:eastAsia="zh-CN"/>
        </w:rPr>
        <w:t xml:space="preserve"> a</w:t>
      </w:r>
      <w:r w:rsidRPr="008C2F68">
        <w:rPr>
          <w:szCs w:val="22"/>
          <w:lang w:eastAsia="zh-CN"/>
        </w:rPr>
        <w:t>n</w:t>
      </w:r>
      <w:r w:rsidR="0072596C" w:rsidRPr="008C2F68">
        <w:rPr>
          <w:rFonts w:hint="eastAsia"/>
          <w:szCs w:val="22"/>
          <w:lang w:eastAsia="zh-CN"/>
        </w:rPr>
        <w:t xml:space="preserve"> </w:t>
      </w:r>
      <w:r w:rsidR="000C565E" w:rsidRPr="008C2F68">
        <w:rPr>
          <w:szCs w:val="22"/>
          <w:lang w:eastAsia="zh-CN"/>
        </w:rPr>
        <w:t>increase</w:t>
      </w:r>
      <w:r w:rsidR="005B5743" w:rsidRPr="008C2F68">
        <w:rPr>
          <w:rFonts w:hint="eastAsia"/>
          <w:szCs w:val="22"/>
          <w:lang w:eastAsia="zh-CN"/>
        </w:rPr>
        <w:t xml:space="preserve"> of R</w:t>
      </w:r>
      <w:r w:rsidR="000C565E" w:rsidRPr="008C2F68">
        <w:rPr>
          <w:szCs w:val="22"/>
          <w:lang w:eastAsia="zh-CN"/>
        </w:rPr>
        <w:t>M0.277</w:t>
      </w:r>
      <w:r w:rsidR="005B5743" w:rsidRPr="008C2F68">
        <w:rPr>
          <w:rFonts w:hint="eastAsia"/>
          <w:szCs w:val="22"/>
          <w:lang w:eastAsia="zh-CN"/>
        </w:rPr>
        <w:t xml:space="preserve"> million or </w:t>
      </w:r>
      <w:r w:rsidR="000C565E" w:rsidRPr="008C2F68">
        <w:rPr>
          <w:szCs w:val="22"/>
          <w:lang w:eastAsia="zh-CN"/>
        </w:rPr>
        <w:t>10.56</w:t>
      </w:r>
      <w:r w:rsidR="005B5743" w:rsidRPr="008C2F68">
        <w:rPr>
          <w:rFonts w:hint="eastAsia"/>
          <w:szCs w:val="22"/>
          <w:lang w:eastAsia="zh-CN"/>
        </w:rPr>
        <w:t>% as compared to the profit before tax of RM</w:t>
      </w:r>
      <w:r w:rsidR="000C565E" w:rsidRPr="008C2F68">
        <w:rPr>
          <w:szCs w:val="22"/>
          <w:lang w:eastAsia="zh-CN"/>
        </w:rPr>
        <w:t>2.622</w:t>
      </w:r>
      <w:r w:rsidR="005B5743" w:rsidRPr="008C2F68">
        <w:rPr>
          <w:rFonts w:hint="eastAsia"/>
          <w:szCs w:val="22"/>
          <w:lang w:eastAsia="zh-CN"/>
        </w:rPr>
        <w:t xml:space="preserve"> million for the preceding quarter ended </w:t>
      </w:r>
      <w:r w:rsidR="000C565E" w:rsidRPr="008C2F68">
        <w:rPr>
          <w:szCs w:val="22"/>
          <w:lang w:eastAsia="zh-CN"/>
        </w:rPr>
        <w:t xml:space="preserve">30 June </w:t>
      </w:r>
      <w:r w:rsidR="0072596C" w:rsidRPr="008C2F68">
        <w:rPr>
          <w:szCs w:val="22"/>
          <w:lang w:eastAsia="zh-CN"/>
        </w:rPr>
        <w:t>2013</w:t>
      </w:r>
      <w:r w:rsidR="005B5743" w:rsidRPr="008C2F68">
        <w:rPr>
          <w:rFonts w:hint="eastAsia"/>
          <w:szCs w:val="22"/>
          <w:lang w:eastAsia="zh-CN"/>
        </w:rPr>
        <w:t xml:space="preserve">. </w:t>
      </w:r>
    </w:p>
    <w:p w:rsidR="005B5743" w:rsidRPr="008C2F68" w:rsidRDefault="005B5743" w:rsidP="005B5743">
      <w:pPr>
        <w:ind w:left="720"/>
        <w:jc w:val="both"/>
        <w:rPr>
          <w:szCs w:val="22"/>
          <w:lang w:eastAsia="zh-CN"/>
        </w:rPr>
      </w:pPr>
    </w:p>
    <w:p w:rsidR="00AA040C" w:rsidRPr="008C2F68" w:rsidRDefault="005B5743" w:rsidP="00AA040C">
      <w:pPr>
        <w:ind w:left="720"/>
        <w:jc w:val="both"/>
        <w:rPr>
          <w:szCs w:val="22"/>
          <w:lang w:eastAsia="zh-CN"/>
        </w:rPr>
      </w:pPr>
      <w:r w:rsidRPr="008C2F68">
        <w:rPr>
          <w:rFonts w:hint="eastAsia"/>
          <w:szCs w:val="22"/>
          <w:lang w:eastAsia="zh-CN"/>
        </w:rPr>
        <w:t>Th</w:t>
      </w:r>
      <w:r w:rsidR="00BF36BC" w:rsidRPr="008C2F68">
        <w:rPr>
          <w:rFonts w:hint="eastAsia"/>
          <w:szCs w:val="22"/>
          <w:lang w:eastAsia="zh-CN"/>
        </w:rPr>
        <w:t xml:space="preserve">e </w:t>
      </w:r>
      <w:r w:rsidR="00951ED5" w:rsidRPr="008C2F68">
        <w:rPr>
          <w:szCs w:val="22"/>
          <w:lang w:eastAsia="zh-CN"/>
        </w:rPr>
        <w:t xml:space="preserve">increase </w:t>
      </w:r>
      <w:r w:rsidR="00BF36BC" w:rsidRPr="008C2F68">
        <w:rPr>
          <w:rFonts w:hint="eastAsia"/>
          <w:szCs w:val="22"/>
          <w:lang w:eastAsia="zh-CN"/>
        </w:rPr>
        <w:t xml:space="preserve">in </w:t>
      </w:r>
      <w:r w:rsidR="00777478" w:rsidRPr="008C2F68">
        <w:rPr>
          <w:rFonts w:hint="eastAsia"/>
          <w:szCs w:val="22"/>
          <w:lang w:eastAsia="zh-CN"/>
        </w:rPr>
        <w:t xml:space="preserve">profit before tax was due mainly to </w:t>
      </w:r>
      <w:r w:rsidR="00AA040C" w:rsidRPr="008C2F68">
        <w:rPr>
          <w:szCs w:val="22"/>
          <w:lang w:eastAsia="zh-CN"/>
        </w:rPr>
        <w:t xml:space="preserve">the increase in interest received from placement of fixed deposits and share of profit from a jointly controlled entity. </w:t>
      </w:r>
    </w:p>
    <w:p w:rsidR="00AA040C" w:rsidRPr="008C2F68" w:rsidRDefault="00AA040C"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Pr="008C2F68" w:rsidRDefault="005B5743" w:rsidP="005B5743">
      <w:pPr>
        <w:pStyle w:val="BodyText"/>
        <w:ind w:left="720"/>
        <w:rPr>
          <w:szCs w:val="22"/>
          <w:lang w:eastAsia="zh-CN"/>
        </w:rPr>
      </w:pPr>
    </w:p>
    <w:p w:rsidR="005B5743" w:rsidRPr="008C2F68" w:rsidRDefault="005B5743" w:rsidP="005B5743">
      <w:pPr>
        <w:ind w:left="720"/>
        <w:jc w:val="both"/>
        <w:rPr>
          <w:szCs w:val="22"/>
          <w:lang w:eastAsia="zh-CN"/>
        </w:rPr>
      </w:pPr>
      <w:r w:rsidRPr="008C2F68">
        <w:rPr>
          <w:rFonts w:hint="eastAsia"/>
          <w:szCs w:val="22"/>
          <w:lang w:eastAsia="zh-CN"/>
        </w:rPr>
        <w:t xml:space="preserve">Moving forward to </w:t>
      </w:r>
      <w:r w:rsidR="003F78D5" w:rsidRPr="008C2F68">
        <w:rPr>
          <w:szCs w:val="22"/>
          <w:lang w:eastAsia="zh-CN"/>
        </w:rPr>
        <w:t xml:space="preserve">the remaining financial quarter of </w:t>
      </w:r>
      <w:r w:rsidRPr="008C2F68">
        <w:rPr>
          <w:rFonts w:hint="eastAsia"/>
          <w:szCs w:val="22"/>
          <w:lang w:eastAsia="zh-CN"/>
        </w:rPr>
        <w:t>2013, the Group expects to deliver another year of satisfactory and stable performance based on the following:</w:t>
      </w:r>
    </w:p>
    <w:p w:rsidR="005B5743" w:rsidRPr="008C2F68" w:rsidRDefault="005B5743" w:rsidP="005B5743">
      <w:pPr>
        <w:ind w:left="720"/>
        <w:jc w:val="both"/>
        <w:rPr>
          <w:szCs w:val="22"/>
          <w:lang w:eastAsia="zh-CN"/>
        </w:rPr>
      </w:pP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leveraging on the sound financial background of the Group;</w:t>
      </w:r>
    </w:p>
    <w:p w:rsidR="005B5743" w:rsidRPr="008C2F68" w:rsidRDefault="005B5743" w:rsidP="005B5743">
      <w:pPr>
        <w:pStyle w:val="ListParagraph"/>
        <w:numPr>
          <w:ilvl w:val="0"/>
          <w:numId w:val="25"/>
        </w:numPr>
        <w:ind w:left="1440" w:hanging="660"/>
        <w:contextualSpacing/>
        <w:jc w:val="both"/>
        <w:rPr>
          <w:szCs w:val="22"/>
          <w:lang w:eastAsia="zh-CN"/>
        </w:rPr>
      </w:pPr>
      <w:r w:rsidRPr="008C2F68">
        <w:rPr>
          <w:rFonts w:hint="eastAsia"/>
          <w:szCs w:val="22"/>
          <w:lang w:eastAsia="zh-CN"/>
        </w:rPr>
        <w:t>continue to expand its market share in overseas and local markets;</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improve its operational efficiencies; and</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 xml:space="preserve">good business network. </w:t>
      </w:r>
    </w:p>
    <w:p w:rsidR="005B5743" w:rsidRPr="008C2F68" w:rsidRDefault="005B5743" w:rsidP="002D5E21">
      <w:pPr>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2D5E21" w:rsidRPr="008C2F68" w:rsidRDefault="002D5E21" w:rsidP="006A08B0">
      <w:pPr>
        <w:pStyle w:val="BodyText"/>
        <w:ind w:left="720"/>
        <w:rPr>
          <w:szCs w:val="22"/>
          <w:lang w:eastAsia="zh-CN"/>
        </w:rPr>
      </w:pPr>
    </w:p>
    <w:p w:rsidR="00541004" w:rsidRPr="008C2F68" w:rsidRDefault="00541004" w:rsidP="00E36449">
      <w:pPr>
        <w:pStyle w:val="Heading2"/>
        <w:rPr>
          <w:sz w:val="22"/>
          <w:szCs w:val="22"/>
          <w:lang w:eastAsia="zh-CN"/>
        </w:rPr>
      </w:pPr>
      <w:r w:rsidRPr="008C2F68">
        <w:rPr>
          <w:sz w:val="22"/>
          <w:szCs w:val="22"/>
        </w:rPr>
        <w:t>1</w:t>
      </w:r>
      <w:r w:rsidR="00E53573" w:rsidRPr="008C2F68">
        <w:rPr>
          <w:sz w:val="22"/>
          <w:szCs w:val="22"/>
          <w:lang w:eastAsia="zh-CN"/>
        </w:rPr>
        <w:t>9</w:t>
      </w:r>
      <w:r w:rsidRPr="008C2F68">
        <w:rPr>
          <w:sz w:val="22"/>
          <w:szCs w:val="22"/>
        </w:rPr>
        <w:t>.</w:t>
      </w:r>
      <w:r w:rsidRPr="008C2F68">
        <w:rPr>
          <w:sz w:val="22"/>
          <w:szCs w:val="22"/>
        </w:rPr>
        <w:tab/>
        <w:t>Tax</w:t>
      </w:r>
      <w:r w:rsidR="00E00A1A" w:rsidRPr="008C2F68">
        <w:rPr>
          <w:sz w:val="22"/>
          <w:szCs w:val="22"/>
        </w:rPr>
        <w:t xml:space="preserve"> </w:t>
      </w:r>
      <w:r w:rsidRPr="008C2F68">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4C5326">
            <w:pPr>
              <w:pStyle w:val="BodyText"/>
              <w:jc w:val="center"/>
              <w:rPr>
                <w:b/>
                <w:szCs w:val="22"/>
                <w:lang w:eastAsia="zh-CN"/>
              </w:rPr>
            </w:pPr>
            <w:r w:rsidRPr="008C2F68">
              <w:rPr>
                <w:b/>
                <w:szCs w:val="22"/>
              </w:rPr>
              <w:t xml:space="preserve">Current Quarter </w:t>
            </w:r>
            <w:r w:rsidR="00623D5B" w:rsidRPr="008C2F68">
              <w:rPr>
                <w:rFonts w:hint="eastAsia"/>
                <w:b/>
                <w:szCs w:val="22"/>
                <w:lang w:eastAsia="zh-CN"/>
              </w:rPr>
              <w:t>30.0</w:t>
            </w:r>
            <w:r w:rsidR="00623D5B" w:rsidRPr="008C2F68">
              <w:rPr>
                <w:b/>
                <w:szCs w:val="22"/>
                <w:lang w:eastAsia="zh-CN"/>
              </w:rPr>
              <w:t>9</w:t>
            </w:r>
            <w:r w:rsidRPr="008C2F68">
              <w:rPr>
                <w:rFonts w:hint="eastAsia"/>
                <w:b/>
                <w:szCs w:val="22"/>
                <w:lang w:eastAsia="zh-CN"/>
              </w:rPr>
              <w:t>.201</w:t>
            </w:r>
            <w:r w:rsidRPr="008C2F68">
              <w:rPr>
                <w:b/>
                <w:szCs w:val="22"/>
                <w:lang w:eastAsia="zh-CN"/>
              </w:rPr>
              <w:t>3</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4C5326" w:rsidP="00623D5B">
            <w:pPr>
              <w:pStyle w:val="BodyText"/>
              <w:jc w:val="center"/>
              <w:rPr>
                <w:b/>
                <w:szCs w:val="22"/>
              </w:rPr>
            </w:pPr>
            <w:r w:rsidRPr="008C2F68">
              <w:rPr>
                <w:b/>
                <w:szCs w:val="22"/>
              </w:rPr>
              <w:t>3</w:t>
            </w:r>
            <w:r w:rsidRPr="008C2F68">
              <w:rPr>
                <w:rFonts w:hint="eastAsia"/>
                <w:b/>
                <w:szCs w:val="22"/>
                <w:lang w:eastAsia="zh-CN"/>
              </w:rPr>
              <w:t>0.0</w:t>
            </w:r>
            <w:r w:rsidR="00623D5B" w:rsidRPr="008C2F68">
              <w:rPr>
                <w:b/>
                <w:szCs w:val="22"/>
                <w:lang w:eastAsia="zh-CN"/>
              </w:rPr>
              <w:t>9</w:t>
            </w:r>
            <w:r w:rsidRPr="008C2F68">
              <w:rPr>
                <w:b/>
                <w:szCs w:val="22"/>
                <w:lang w:eastAsia="zh-CN"/>
              </w:rPr>
              <w:t>.2013</w:t>
            </w:r>
          </w:p>
        </w:tc>
      </w:tr>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8F34E9">
        <w:trPr>
          <w:trHeight w:hRule="exact" w:val="144"/>
        </w:trPr>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4C5326" w:rsidRPr="008C2F68" w:rsidTr="00A7500B">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r w:rsidRPr="008C2F68">
              <w:rPr>
                <w:szCs w:val="22"/>
              </w:rPr>
              <w:t>Estimated current tax expense</w:t>
            </w:r>
          </w:p>
          <w:p w:rsidR="007306D4" w:rsidRPr="008C2F68" w:rsidRDefault="007306D4" w:rsidP="00EA2834">
            <w:pPr>
              <w:pStyle w:val="BodyText"/>
              <w:rPr>
                <w:szCs w:val="22"/>
              </w:rPr>
            </w:pPr>
            <w:r w:rsidRPr="008C2F68">
              <w:rPr>
                <w:szCs w:val="22"/>
              </w:rPr>
              <w:t>Under provision of tax in prior year</w:t>
            </w:r>
          </w:p>
        </w:tc>
        <w:tc>
          <w:tcPr>
            <w:tcW w:w="2070" w:type="dxa"/>
            <w:tcBorders>
              <w:bottom w:val="single" w:sz="4" w:space="0" w:color="auto"/>
            </w:tcBorders>
          </w:tcPr>
          <w:p w:rsidR="004C5326" w:rsidRPr="008C2F68" w:rsidRDefault="00AA040C" w:rsidP="008F34E9">
            <w:pPr>
              <w:jc w:val="center"/>
            </w:pPr>
            <w:r w:rsidRPr="008C2F68">
              <w:t>754</w:t>
            </w:r>
          </w:p>
          <w:p w:rsidR="007306D4" w:rsidRPr="008C2F68" w:rsidRDefault="007306D4" w:rsidP="008F34E9">
            <w:pPr>
              <w:jc w:val="center"/>
            </w:pPr>
            <w:r w:rsidRPr="008C2F68">
              <w:t xml:space="preserve">  5</w:t>
            </w:r>
            <w:r w:rsidR="00AA040C" w:rsidRPr="008C2F68">
              <w:t>8</w:t>
            </w:r>
          </w:p>
        </w:tc>
        <w:tc>
          <w:tcPr>
            <w:tcW w:w="270" w:type="dxa"/>
          </w:tcPr>
          <w:p w:rsidR="004C5326" w:rsidRPr="008C2F68" w:rsidRDefault="004C5326" w:rsidP="00EA2834">
            <w:pPr>
              <w:pStyle w:val="BodyText"/>
              <w:jc w:val="center"/>
              <w:rPr>
                <w:szCs w:val="22"/>
              </w:rPr>
            </w:pPr>
          </w:p>
        </w:tc>
        <w:tc>
          <w:tcPr>
            <w:tcW w:w="2520" w:type="dxa"/>
            <w:tcBorders>
              <w:bottom w:val="single" w:sz="4" w:space="0" w:color="auto"/>
            </w:tcBorders>
          </w:tcPr>
          <w:p w:rsidR="004C5326" w:rsidRPr="008C2F68" w:rsidRDefault="007306D4" w:rsidP="00EA2834">
            <w:pPr>
              <w:pStyle w:val="BodyText"/>
              <w:tabs>
                <w:tab w:val="clear" w:pos="1440"/>
                <w:tab w:val="decimal" w:pos="1422"/>
              </w:tabs>
              <w:jc w:val="center"/>
              <w:rPr>
                <w:szCs w:val="22"/>
                <w:lang w:eastAsia="zh-CN"/>
              </w:rPr>
            </w:pPr>
            <w:r w:rsidRPr="008C2F68">
              <w:rPr>
                <w:szCs w:val="22"/>
                <w:lang w:eastAsia="zh-CN"/>
              </w:rPr>
              <w:t>2,3</w:t>
            </w:r>
            <w:r w:rsidR="00AA040C" w:rsidRPr="008C2F68">
              <w:rPr>
                <w:szCs w:val="22"/>
                <w:lang w:eastAsia="zh-CN"/>
              </w:rPr>
              <w:t>70</w:t>
            </w:r>
          </w:p>
          <w:p w:rsidR="007306D4" w:rsidRPr="008C2F68" w:rsidRDefault="007306D4" w:rsidP="00EA2834">
            <w:pPr>
              <w:pStyle w:val="BodyText"/>
              <w:tabs>
                <w:tab w:val="clear" w:pos="1440"/>
                <w:tab w:val="decimal" w:pos="1422"/>
              </w:tabs>
              <w:jc w:val="center"/>
              <w:rPr>
                <w:szCs w:val="22"/>
                <w:lang w:eastAsia="zh-CN"/>
              </w:rPr>
            </w:pPr>
            <w:r w:rsidRPr="008C2F68">
              <w:rPr>
                <w:szCs w:val="22"/>
                <w:lang w:eastAsia="zh-CN"/>
              </w:rPr>
              <w:t xml:space="preserve">     5</w:t>
            </w:r>
            <w:r w:rsidR="00AA040C" w:rsidRPr="008C2F68">
              <w:rPr>
                <w:szCs w:val="22"/>
                <w:lang w:eastAsia="zh-CN"/>
              </w:rPr>
              <w:t>8</w:t>
            </w:r>
          </w:p>
        </w:tc>
      </w:tr>
      <w:tr w:rsidR="00A7500B" w:rsidRPr="008C2F68" w:rsidTr="00A7500B">
        <w:tc>
          <w:tcPr>
            <w:tcW w:w="390" w:type="dxa"/>
          </w:tcPr>
          <w:p w:rsidR="00A7500B" w:rsidRPr="008C2F68" w:rsidRDefault="00A7500B" w:rsidP="00EA2834">
            <w:pPr>
              <w:pStyle w:val="BodyText"/>
              <w:rPr>
                <w:szCs w:val="22"/>
              </w:rPr>
            </w:pPr>
          </w:p>
        </w:tc>
        <w:tc>
          <w:tcPr>
            <w:tcW w:w="4110" w:type="dxa"/>
          </w:tcPr>
          <w:p w:rsidR="00A7500B" w:rsidRPr="008C2F68" w:rsidRDefault="00A7500B" w:rsidP="00EA2834">
            <w:pPr>
              <w:pStyle w:val="BodyText"/>
              <w:rPr>
                <w:szCs w:val="22"/>
              </w:rPr>
            </w:pPr>
          </w:p>
        </w:tc>
        <w:tc>
          <w:tcPr>
            <w:tcW w:w="2070" w:type="dxa"/>
            <w:tcBorders>
              <w:top w:val="single" w:sz="4" w:space="0" w:color="auto"/>
              <w:bottom w:val="double" w:sz="4" w:space="0" w:color="auto"/>
            </w:tcBorders>
          </w:tcPr>
          <w:p w:rsidR="00A7500B" w:rsidRPr="008C2F68" w:rsidRDefault="00322909" w:rsidP="008F34E9">
            <w:pPr>
              <w:jc w:val="center"/>
            </w:pPr>
            <w:r w:rsidRPr="008C2F68">
              <w:t>812</w:t>
            </w:r>
          </w:p>
        </w:tc>
        <w:tc>
          <w:tcPr>
            <w:tcW w:w="270" w:type="dxa"/>
          </w:tcPr>
          <w:p w:rsidR="00A7500B" w:rsidRPr="008C2F68" w:rsidRDefault="00A7500B" w:rsidP="00EA2834">
            <w:pPr>
              <w:pStyle w:val="BodyText"/>
              <w:jc w:val="center"/>
              <w:rPr>
                <w:szCs w:val="22"/>
              </w:rPr>
            </w:pPr>
          </w:p>
        </w:tc>
        <w:tc>
          <w:tcPr>
            <w:tcW w:w="2520" w:type="dxa"/>
            <w:tcBorders>
              <w:top w:val="single" w:sz="4" w:space="0" w:color="auto"/>
              <w:bottom w:val="double" w:sz="4" w:space="0" w:color="auto"/>
            </w:tcBorders>
          </w:tcPr>
          <w:p w:rsidR="00A7500B" w:rsidRPr="008C2F68" w:rsidRDefault="007306D4" w:rsidP="00EA2834">
            <w:pPr>
              <w:pStyle w:val="BodyText"/>
              <w:tabs>
                <w:tab w:val="clear" w:pos="1440"/>
                <w:tab w:val="decimal" w:pos="1422"/>
              </w:tabs>
              <w:jc w:val="center"/>
              <w:rPr>
                <w:szCs w:val="22"/>
                <w:lang w:eastAsia="zh-CN"/>
              </w:rPr>
            </w:pPr>
            <w:r w:rsidRPr="008C2F68">
              <w:rPr>
                <w:szCs w:val="22"/>
                <w:lang w:eastAsia="zh-CN"/>
              </w:rPr>
              <w:t>2,428</w:t>
            </w:r>
          </w:p>
        </w:tc>
      </w:tr>
      <w:tr w:rsidR="004C5326" w:rsidRPr="008C2F68" w:rsidTr="008F34E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4C5326" w:rsidRPr="008C2F68" w:rsidRDefault="004C5326" w:rsidP="004C5326">
      <w:pPr>
        <w:pStyle w:val="Heading2"/>
        <w:ind w:left="810" w:hanging="810"/>
        <w:rPr>
          <w:sz w:val="22"/>
          <w:szCs w:val="22"/>
        </w:rPr>
      </w:pPr>
    </w:p>
    <w:p w:rsidR="00E34F8A" w:rsidRPr="008C2F68" w:rsidRDefault="00E34F8A" w:rsidP="004C5326">
      <w:pPr>
        <w:pStyle w:val="BodyText"/>
        <w:ind w:left="720" w:hanging="720"/>
        <w:rPr>
          <w:b/>
          <w:bCs/>
          <w:szCs w:val="22"/>
          <w:lang w:eastAsia="zh-CN"/>
        </w:rPr>
      </w:pPr>
    </w:p>
    <w:p w:rsidR="002720B0" w:rsidRPr="008C2F68" w:rsidRDefault="002720B0" w:rsidP="002720B0">
      <w:pPr>
        <w:pStyle w:val="Heading2"/>
        <w:ind w:left="720"/>
        <w:rPr>
          <w:b w:val="0"/>
          <w:bCs/>
          <w:sz w:val="22"/>
          <w:szCs w:val="22"/>
        </w:rPr>
      </w:pPr>
      <w:r w:rsidRPr="008C2F68">
        <w:rPr>
          <w:b w:val="0"/>
          <w:bCs/>
          <w:sz w:val="22"/>
          <w:szCs w:val="22"/>
        </w:rPr>
        <w:t xml:space="preserve">The Group’s effective tax rate was </w:t>
      </w:r>
      <w:r w:rsidR="00B40C96" w:rsidRPr="008C2F68">
        <w:rPr>
          <w:b w:val="0"/>
          <w:bCs/>
          <w:sz w:val="22"/>
          <w:szCs w:val="22"/>
          <w:lang w:eastAsia="zh-CN"/>
        </w:rPr>
        <w:t xml:space="preserve">higher </w:t>
      </w:r>
      <w:r w:rsidRPr="008C2F68">
        <w:rPr>
          <w:b w:val="0"/>
          <w:bCs/>
          <w:sz w:val="22"/>
          <w:szCs w:val="22"/>
        </w:rPr>
        <w:t xml:space="preserve">than the statutory tax rate of 25% due mainly to </w:t>
      </w:r>
      <w:r w:rsidR="003E1075" w:rsidRPr="008C2F68">
        <w:rPr>
          <w:b w:val="0"/>
          <w:bCs/>
          <w:sz w:val="22"/>
          <w:szCs w:val="22"/>
        </w:rPr>
        <w:t>certain expenses which are not deductible for tax purpose.</w:t>
      </w:r>
    </w:p>
    <w:p w:rsidR="00541004" w:rsidRPr="008C2F68" w:rsidRDefault="00541004" w:rsidP="006A08B0">
      <w:pPr>
        <w:pStyle w:val="BodyText"/>
        <w:rPr>
          <w:szCs w:val="22"/>
        </w:rPr>
      </w:pPr>
    </w:p>
    <w:p w:rsidR="00DF1E14" w:rsidRPr="008C2F68" w:rsidRDefault="001C6FF6" w:rsidP="00DF1E14">
      <w:pPr>
        <w:pStyle w:val="BodyText"/>
        <w:rPr>
          <w:b/>
          <w:szCs w:val="22"/>
          <w:lang w:eastAsia="zh-CN"/>
        </w:rPr>
      </w:pPr>
      <w:r w:rsidRPr="008C2F68">
        <w:rPr>
          <w:b/>
          <w:szCs w:val="22"/>
          <w:lang w:eastAsia="zh-CN"/>
        </w:rPr>
        <w:br w:type="page"/>
      </w:r>
    </w:p>
    <w:p w:rsidR="004278C4" w:rsidRPr="008C2F68" w:rsidRDefault="004278C4" w:rsidP="006A7FB3">
      <w:pPr>
        <w:pStyle w:val="BodyText"/>
        <w:rPr>
          <w:b/>
          <w:szCs w:val="22"/>
          <w:lang w:eastAsia="zh-CN"/>
        </w:rPr>
      </w:pPr>
    </w:p>
    <w:p w:rsidR="006C1811" w:rsidRPr="008C2F68" w:rsidRDefault="00E53573" w:rsidP="006A7FB3">
      <w:pPr>
        <w:pStyle w:val="BodyText"/>
        <w:rPr>
          <w:b/>
          <w:bCs/>
          <w:szCs w:val="22"/>
        </w:rPr>
      </w:pPr>
      <w:r w:rsidRPr="008C2F68">
        <w:rPr>
          <w:b/>
          <w:szCs w:val="22"/>
          <w:lang w:eastAsia="zh-CN"/>
        </w:rPr>
        <w:t>20</w:t>
      </w:r>
      <w:r w:rsidR="006C1811" w:rsidRPr="008C2F68">
        <w:rPr>
          <w:b/>
          <w:szCs w:val="22"/>
        </w:rPr>
        <w:t>.</w:t>
      </w:r>
      <w:r w:rsidR="006C1811" w:rsidRPr="008C2F68">
        <w:rPr>
          <w:b/>
          <w:szCs w:val="22"/>
        </w:rPr>
        <w:tab/>
      </w:r>
      <w:r w:rsidR="006C1811" w:rsidRPr="008C2F68">
        <w:rPr>
          <w:b/>
          <w:bCs/>
          <w:szCs w:val="22"/>
        </w:rPr>
        <w:t xml:space="preserve">Status of Corporate Proposals </w:t>
      </w:r>
    </w:p>
    <w:p w:rsidR="00075744" w:rsidRPr="008C2F68" w:rsidRDefault="009B5005" w:rsidP="00633442">
      <w:pPr>
        <w:tabs>
          <w:tab w:val="clear" w:pos="1440"/>
          <w:tab w:val="left" w:pos="1080"/>
        </w:tabs>
        <w:rPr>
          <w:szCs w:val="22"/>
        </w:rPr>
      </w:pPr>
      <w:r w:rsidRPr="008C2F68">
        <w:rPr>
          <w:b/>
          <w:szCs w:val="22"/>
        </w:rPr>
        <w:tab/>
      </w:r>
    </w:p>
    <w:p w:rsidR="00712018" w:rsidRPr="008C2F68" w:rsidRDefault="00712018" w:rsidP="00633442">
      <w:pPr>
        <w:tabs>
          <w:tab w:val="clear" w:pos="1440"/>
          <w:tab w:val="left" w:pos="1080"/>
        </w:tabs>
        <w:ind w:left="720"/>
        <w:jc w:val="both"/>
        <w:rPr>
          <w:szCs w:val="22"/>
        </w:rPr>
      </w:pPr>
      <w:r w:rsidRPr="008C2F68">
        <w:rPr>
          <w:szCs w:val="22"/>
        </w:rPr>
        <w:t xml:space="preserve">On 27 May 2013, Public Investment Bank </w:t>
      </w:r>
      <w:proofErr w:type="spellStart"/>
      <w:r w:rsidRPr="008C2F68">
        <w:rPr>
          <w:szCs w:val="22"/>
        </w:rPr>
        <w:t>Berhad</w:t>
      </w:r>
      <w:proofErr w:type="spellEnd"/>
      <w:r w:rsidR="00CA2800" w:rsidRPr="008C2F68">
        <w:rPr>
          <w:szCs w:val="22"/>
        </w:rPr>
        <w:t xml:space="preserve"> </w:t>
      </w:r>
      <w:r w:rsidR="00B40C96" w:rsidRPr="008C2F68">
        <w:rPr>
          <w:szCs w:val="22"/>
        </w:rPr>
        <w:t xml:space="preserve">(“PIVB”) </w:t>
      </w:r>
      <w:r w:rsidRPr="008C2F68">
        <w:rPr>
          <w:szCs w:val="22"/>
        </w:rPr>
        <w:t>had, on behalf of the Board of Directors of KIB</w:t>
      </w:r>
      <w:r w:rsidR="00B40C96" w:rsidRPr="008C2F68">
        <w:rPr>
          <w:szCs w:val="22"/>
        </w:rPr>
        <w:t xml:space="preserve"> (“Board”), </w:t>
      </w:r>
      <w:r w:rsidRPr="008C2F68">
        <w:rPr>
          <w:szCs w:val="22"/>
        </w:rPr>
        <w:t>announced that the Company proposes to undertake the following:</w:t>
      </w:r>
    </w:p>
    <w:p w:rsidR="00712018" w:rsidRPr="008C2F68" w:rsidRDefault="00712018" w:rsidP="00633442">
      <w:pPr>
        <w:tabs>
          <w:tab w:val="clear" w:pos="1440"/>
          <w:tab w:val="left" w:pos="1080"/>
        </w:tabs>
        <w:ind w:left="720"/>
        <w:jc w:val="both"/>
        <w:rPr>
          <w:szCs w:val="22"/>
        </w:rPr>
      </w:pPr>
    </w:p>
    <w:p w:rsidR="00712018" w:rsidRPr="008C2F68" w:rsidRDefault="00712018" w:rsidP="00633442">
      <w:pPr>
        <w:tabs>
          <w:tab w:val="clear" w:pos="1440"/>
          <w:tab w:val="left" w:pos="1080"/>
        </w:tabs>
        <w:ind w:left="1080" w:hanging="360"/>
        <w:jc w:val="both"/>
        <w:rPr>
          <w:szCs w:val="22"/>
        </w:rPr>
      </w:pPr>
      <w:r w:rsidRPr="008C2F68">
        <w:rPr>
          <w:szCs w:val="22"/>
        </w:rPr>
        <w:t>(i)</w:t>
      </w:r>
      <w:r w:rsidRPr="008C2F68">
        <w:rPr>
          <w:szCs w:val="22"/>
        </w:rPr>
        <w:tab/>
        <w:t xml:space="preserve">Proposed  transfer of the listing of and quotation for the entire issued and paid-up share capital of KIB from the ACE Market of Bursa </w:t>
      </w:r>
      <w:r w:rsidR="00275471" w:rsidRPr="008C2F68">
        <w:rPr>
          <w:szCs w:val="22"/>
        </w:rPr>
        <w:t>Securities to the Main Market of Bursa Securities (“Proposed Transfer Listing); and</w:t>
      </w:r>
    </w:p>
    <w:p w:rsidR="00275471" w:rsidRPr="008C2F68" w:rsidRDefault="00275471" w:rsidP="00633442">
      <w:pPr>
        <w:tabs>
          <w:tab w:val="clear" w:pos="1440"/>
          <w:tab w:val="left" w:pos="1080"/>
        </w:tabs>
        <w:ind w:left="1080" w:hanging="360"/>
        <w:jc w:val="both"/>
        <w:rPr>
          <w:szCs w:val="22"/>
        </w:rPr>
      </w:pPr>
    </w:p>
    <w:p w:rsidR="00275471" w:rsidRPr="008C2F68" w:rsidRDefault="00275471" w:rsidP="00633442">
      <w:pPr>
        <w:tabs>
          <w:tab w:val="clear" w:pos="1440"/>
          <w:tab w:val="left" w:pos="1080"/>
        </w:tabs>
        <w:ind w:left="1080" w:hanging="360"/>
        <w:jc w:val="both"/>
        <w:rPr>
          <w:szCs w:val="22"/>
        </w:rPr>
      </w:pPr>
      <w:r w:rsidRPr="008C2F68">
        <w:rPr>
          <w:szCs w:val="22"/>
        </w:rPr>
        <w:t>(ii)</w:t>
      </w:r>
      <w:r w:rsidRPr="008C2F68">
        <w:rPr>
          <w:szCs w:val="22"/>
        </w:rPr>
        <w:tab/>
        <w:t>Proposed amendments to the Articles of Association of KIB to facilitate the implementation of the Proposed Transfer Listing (“Proposed Amendments”).</w:t>
      </w:r>
    </w:p>
    <w:p w:rsidR="00712018" w:rsidRPr="008C2F68" w:rsidRDefault="00712018" w:rsidP="00633442">
      <w:pPr>
        <w:tabs>
          <w:tab w:val="clear" w:pos="1440"/>
          <w:tab w:val="left" w:pos="1080"/>
        </w:tabs>
        <w:rPr>
          <w:szCs w:val="22"/>
          <w:lang w:eastAsia="zh-CN"/>
        </w:rPr>
      </w:pPr>
    </w:p>
    <w:p w:rsidR="00B40C96" w:rsidRPr="008C2F68" w:rsidRDefault="00B40C96" w:rsidP="004269F2">
      <w:pPr>
        <w:tabs>
          <w:tab w:val="clear" w:pos="1440"/>
          <w:tab w:val="left" w:pos="1080"/>
        </w:tabs>
        <w:ind w:left="720"/>
        <w:jc w:val="both"/>
        <w:rPr>
          <w:szCs w:val="22"/>
          <w:lang w:eastAsia="zh-CN"/>
        </w:rPr>
      </w:pPr>
      <w:r w:rsidRPr="008C2F68">
        <w:rPr>
          <w:szCs w:val="22"/>
          <w:lang w:eastAsia="zh-CN"/>
        </w:rPr>
        <w:t>The shareholders of KIB had on 26 June 2013 approved the Proposed Amendments</w:t>
      </w:r>
      <w:r w:rsidR="008B1D25" w:rsidRPr="008C2F68">
        <w:rPr>
          <w:szCs w:val="22"/>
          <w:lang w:eastAsia="zh-CN"/>
        </w:rPr>
        <w:t>.</w:t>
      </w:r>
      <w:r w:rsidRPr="008C2F68">
        <w:rPr>
          <w:szCs w:val="22"/>
          <w:lang w:eastAsia="zh-CN"/>
        </w:rPr>
        <w:t xml:space="preserve"> </w:t>
      </w:r>
      <w:r w:rsidR="008B1D25" w:rsidRPr="008C2F68">
        <w:rPr>
          <w:szCs w:val="22"/>
          <w:lang w:eastAsia="zh-CN"/>
        </w:rPr>
        <w:t>S</w:t>
      </w:r>
      <w:r w:rsidRPr="008C2F68">
        <w:rPr>
          <w:szCs w:val="22"/>
          <w:lang w:eastAsia="zh-CN"/>
        </w:rPr>
        <w:t>ubject to relevant approvals being obtained for the Proposed Transfer Listing</w:t>
      </w:r>
      <w:r w:rsidR="00465A8F" w:rsidRPr="008C2F68">
        <w:rPr>
          <w:szCs w:val="22"/>
          <w:lang w:eastAsia="zh-CN"/>
        </w:rPr>
        <w:t>,</w:t>
      </w:r>
      <w:r w:rsidRPr="008C2F68">
        <w:rPr>
          <w:szCs w:val="22"/>
          <w:lang w:eastAsia="zh-CN"/>
        </w:rPr>
        <w:t xml:space="preserve"> the Proposed Amendments will be effected prior to the Proposed Transfer Listing</w:t>
      </w:r>
      <w:r w:rsidR="00C86B3D" w:rsidRPr="008C2F68">
        <w:rPr>
          <w:szCs w:val="22"/>
          <w:lang w:eastAsia="zh-CN"/>
        </w:rPr>
        <w:t>.</w:t>
      </w:r>
    </w:p>
    <w:p w:rsidR="00B40C96" w:rsidRPr="008C2F68" w:rsidRDefault="00B40C96" w:rsidP="004269F2">
      <w:pPr>
        <w:tabs>
          <w:tab w:val="clear" w:pos="1440"/>
          <w:tab w:val="left" w:pos="1080"/>
        </w:tabs>
        <w:ind w:left="720"/>
        <w:rPr>
          <w:szCs w:val="22"/>
          <w:lang w:eastAsia="zh-CN"/>
        </w:rPr>
      </w:pPr>
    </w:p>
    <w:p w:rsidR="006B5C95" w:rsidRPr="008C2F68" w:rsidRDefault="006B5C95" w:rsidP="0053031F">
      <w:pPr>
        <w:tabs>
          <w:tab w:val="clear" w:pos="1440"/>
          <w:tab w:val="left" w:pos="1080"/>
        </w:tabs>
        <w:ind w:left="720"/>
        <w:jc w:val="both"/>
        <w:rPr>
          <w:szCs w:val="22"/>
          <w:lang w:eastAsia="zh-CN"/>
        </w:rPr>
      </w:pPr>
      <w:r w:rsidRPr="008C2F68">
        <w:rPr>
          <w:szCs w:val="22"/>
          <w:lang w:eastAsia="zh-CN"/>
        </w:rPr>
        <w:t xml:space="preserve">On </w:t>
      </w:r>
      <w:r w:rsidR="00237804" w:rsidRPr="008C2F68">
        <w:rPr>
          <w:szCs w:val="22"/>
          <w:lang w:eastAsia="zh-CN"/>
        </w:rPr>
        <w:t>2</w:t>
      </w:r>
      <w:r w:rsidR="00563071" w:rsidRPr="008C2F68">
        <w:rPr>
          <w:szCs w:val="22"/>
          <w:lang w:eastAsia="zh-CN"/>
        </w:rPr>
        <w:t>2</w:t>
      </w:r>
      <w:r w:rsidR="00237804" w:rsidRPr="008C2F68">
        <w:rPr>
          <w:szCs w:val="22"/>
          <w:lang w:eastAsia="zh-CN"/>
        </w:rPr>
        <w:t xml:space="preserve"> </w:t>
      </w:r>
      <w:r w:rsidR="00563071" w:rsidRPr="008C2F68">
        <w:rPr>
          <w:szCs w:val="22"/>
          <w:lang w:eastAsia="zh-CN"/>
        </w:rPr>
        <w:t>Novem</w:t>
      </w:r>
      <w:r w:rsidR="00237804" w:rsidRPr="008C2F68">
        <w:rPr>
          <w:szCs w:val="22"/>
          <w:lang w:eastAsia="zh-CN"/>
        </w:rPr>
        <w:t>ber 2013</w:t>
      </w:r>
      <w:r w:rsidRPr="008C2F68">
        <w:rPr>
          <w:szCs w:val="22"/>
          <w:lang w:eastAsia="zh-CN"/>
        </w:rPr>
        <w:t xml:space="preserve">, </w:t>
      </w:r>
      <w:r w:rsidR="00C74E57" w:rsidRPr="008C2F68">
        <w:rPr>
          <w:szCs w:val="22"/>
          <w:lang w:eastAsia="zh-CN"/>
        </w:rPr>
        <w:t xml:space="preserve">PIVB, on behalf of the Board </w:t>
      </w:r>
      <w:r w:rsidR="00921035" w:rsidRPr="008C2F68">
        <w:rPr>
          <w:szCs w:val="22"/>
          <w:lang w:eastAsia="zh-CN"/>
        </w:rPr>
        <w:t xml:space="preserve">further announced that KIB is still in the midst of preparing the documents for the applications to the relevant authorities in relation to the Proposed Transfer Listing.  </w:t>
      </w:r>
    </w:p>
    <w:p w:rsidR="006B5C95" w:rsidRPr="008C2F68" w:rsidRDefault="006B5C95" w:rsidP="00633442">
      <w:pPr>
        <w:tabs>
          <w:tab w:val="clear" w:pos="1440"/>
          <w:tab w:val="left" w:pos="1080"/>
        </w:tabs>
        <w:ind w:left="720"/>
        <w:rPr>
          <w:szCs w:val="22"/>
          <w:lang w:eastAsia="zh-CN"/>
        </w:rPr>
      </w:pPr>
    </w:p>
    <w:p w:rsidR="00275471" w:rsidRPr="008C2F68" w:rsidRDefault="00275471" w:rsidP="00633442">
      <w:pPr>
        <w:tabs>
          <w:tab w:val="clear" w:pos="1440"/>
          <w:tab w:val="left" w:pos="1080"/>
        </w:tabs>
        <w:ind w:left="720"/>
        <w:rPr>
          <w:szCs w:val="22"/>
          <w:lang w:eastAsia="zh-CN"/>
        </w:rPr>
      </w:pPr>
      <w:r w:rsidRPr="008C2F68">
        <w:rPr>
          <w:szCs w:val="22"/>
          <w:lang w:eastAsia="zh-CN"/>
        </w:rPr>
        <w:t>The applications to the relevant authorities on the Proposed Transfer Listing a</w:t>
      </w:r>
      <w:r w:rsidR="00266DA2" w:rsidRPr="008C2F68">
        <w:rPr>
          <w:szCs w:val="22"/>
          <w:lang w:eastAsia="zh-CN"/>
        </w:rPr>
        <w:t>r</w:t>
      </w:r>
      <w:r w:rsidR="00975347" w:rsidRPr="008C2F68">
        <w:rPr>
          <w:szCs w:val="22"/>
          <w:lang w:eastAsia="zh-CN"/>
        </w:rPr>
        <w:t>e expected to be made within two</w:t>
      </w:r>
      <w:r w:rsidRPr="008C2F68">
        <w:rPr>
          <w:szCs w:val="22"/>
          <w:lang w:eastAsia="zh-CN"/>
        </w:rPr>
        <w:t xml:space="preserve"> (</w:t>
      </w:r>
      <w:r w:rsidR="00975347" w:rsidRPr="008C2F68">
        <w:rPr>
          <w:szCs w:val="22"/>
          <w:lang w:eastAsia="zh-CN"/>
        </w:rPr>
        <w:t>2</w:t>
      </w:r>
      <w:r w:rsidR="00921035" w:rsidRPr="008C2F68">
        <w:rPr>
          <w:szCs w:val="22"/>
          <w:lang w:eastAsia="zh-CN"/>
        </w:rPr>
        <w:t xml:space="preserve">) months from </w:t>
      </w:r>
      <w:r w:rsidR="00563071" w:rsidRPr="008C2F68">
        <w:rPr>
          <w:szCs w:val="22"/>
          <w:lang w:eastAsia="zh-CN"/>
        </w:rPr>
        <w:t>22</w:t>
      </w:r>
      <w:r w:rsidR="00237804" w:rsidRPr="008C2F68">
        <w:rPr>
          <w:szCs w:val="22"/>
          <w:lang w:eastAsia="zh-CN"/>
        </w:rPr>
        <w:t xml:space="preserve"> </w:t>
      </w:r>
      <w:r w:rsidR="00563071" w:rsidRPr="008C2F68">
        <w:rPr>
          <w:szCs w:val="22"/>
          <w:lang w:eastAsia="zh-CN"/>
        </w:rPr>
        <w:t>Nove</w:t>
      </w:r>
      <w:r w:rsidR="00237804" w:rsidRPr="008C2F68">
        <w:rPr>
          <w:szCs w:val="22"/>
          <w:lang w:eastAsia="zh-CN"/>
        </w:rPr>
        <w:t xml:space="preserve">mber </w:t>
      </w:r>
      <w:r w:rsidR="00921035" w:rsidRPr="008C2F68">
        <w:rPr>
          <w:szCs w:val="22"/>
          <w:lang w:eastAsia="zh-CN"/>
        </w:rPr>
        <w:t>2013</w:t>
      </w:r>
      <w:r w:rsidRPr="008C2F68">
        <w:rPr>
          <w:szCs w:val="22"/>
          <w:lang w:eastAsia="zh-CN"/>
        </w:rPr>
        <w:t>.</w:t>
      </w:r>
    </w:p>
    <w:p w:rsidR="00DD6CF9" w:rsidRPr="008C2F68" w:rsidRDefault="00122EF4">
      <w:pPr>
        <w:ind w:left="720"/>
        <w:jc w:val="both"/>
        <w:rPr>
          <w:sz w:val="20"/>
        </w:rPr>
      </w:pPr>
      <w:r w:rsidRPr="008C2F68">
        <w:rPr>
          <w:rFonts w:hint="eastAsia"/>
          <w:b/>
          <w:szCs w:val="22"/>
          <w:lang w:eastAsia="zh-CN"/>
        </w:rPr>
        <w:tab/>
      </w: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8B4043" w:rsidRPr="008C2F68">
        <w:rPr>
          <w:szCs w:val="22"/>
          <w:lang w:eastAsia="zh-CN"/>
        </w:rPr>
        <w:t>3</w:t>
      </w:r>
      <w:r w:rsidR="0029663C" w:rsidRPr="008C2F68">
        <w:rPr>
          <w:szCs w:val="22"/>
          <w:lang w:eastAsia="zh-CN"/>
        </w:rPr>
        <w:t>0</w:t>
      </w:r>
      <w:r w:rsidR="00CA10AC" w:rsidRPr="008C2F68">
        <w:rPr>
          <w:szCs w:val="22"/>
          <w:lang w:eastAsia="zh-CN"/>
        </w:rPr>
        <w:t xml:space="preserve"> September</w:t>
      </w:r>
      <w:r w:rsidR="00D048B8" w:rsidRPr="008C2F68">
        <w:rPr>
          <w:szCs w:val="22"/>
          <w:lang w:eastAsia="zh-CN"/>
        </w:rPr>
        <w:t xml:space="preserve"> 2013</w:t>
      </w:r>
      <w:r w:rsidRPr="008C2F68">
        <w:rPr>
          <w:szCs w:val="22"/>
        </w:rPr>
        <w:t xml:space="preserve"> are shown below:</w:t>
      </w:r>
    </w:p>
    <w:p w:rsidR="006C0762" w:rsidRPr="008C2F68"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2325"/>
        <w:gridCol w:w="450"/>
      </w:tblGrid>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As at 30.09</w:t>
            </w:r>
            <w:r w:rsidR="00FB0D83" w:rsidRPr="008C2F68">
              <w:rPr>
                <w:b/>
                <w:bCs/>
                <w:szCs w:val="22"/>
              </w:rPr>
              <w:t>.2013</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2325"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Pr="008C2F68">
              <w:rPr>
                <w:b/>
                <w:bCs/>
                <w:szCs w:val="22"/>
              </w:rPr>
              <w:t>30.0</w:t>
            </w:r>
            <w:r w:rsidR="00CA10AC" w:rsidRPr="008C2F68">
              <w:rPr>
                <w:b/>
                <w:bCs/>
                <w:szCs w:val="22"/>
              </w:rPr>
              <w:t>9</w:t>
            </w:r>
            <w:r w:rsidRPr="008C2F68">
              <w:rPr>
                <w:b/>
                <w:bCs/>
                <w:szCs w:val="22"/>
              </w:rPr>
              <w:t>.2012</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2325" w:type="dxa"/>
          </w:tcPr>
          <w:p w:rsidR="00A9417E" w:rsidRPr="008C2F68" w:rsidRDefault="00A9417E" w:rsidP="00A9417E">
            <w:pPr>
              <w:pStyle w:val="BodyText"/>
              <w:tabs>
                <w:tab w:val="left" w:pos="3828"/>
              </w:tabs>
              <w:rPr>
                <w:szCs w:val="22"/>
              </w:rPr>
            </w:pPr>
          </w:p>
        </w:tc>
        <w:tc>
          <w:tcPr>
            <w:tcW w:w="450" w:type="dxa"/>
          </w:tcPr>
          <w:p w:rsidR="00A9417E" w:rsidRPr="008C2F68" w:rsidRDefault="00A9417E" w:rsidP="00A9417E">
            <w:pPr>
              <w:pStyle w:val="BodyText"/>
              <w:tabs>
                <w:tab w:val="left" w:pos="3828"/>
              </w:tabs>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Hire purchase creditors</w:t>
            </w:r>
          </w:p>
        </w:tc>
        <w:tc>
          <w:tcPr>
            <w:tcW w:w="1843" w:type="dxa"/>
          </w:tcPr>
          <w:p w:rsidR="00A9417E" w:rsidRPr="008C2F68" w:rsidRDefault="00A9417E" w:rsidP="00A9417E">
            <w:pPr>
              <w:pStyle w:val="BodyText"/>
              <w:tabs>
                <w:tab w:val="left" w:pos="3828"/>
              </w:tabs>
              <w:jc w:val="right"/>
              <w:rPr>
                <w:szCs w:val="22"/>
                <w:lang w:eastAsia="zh-CN"/>
              </w:rPr>
            </w:pPr>
            <w:r w:rsidRPr="008C2F68">
              <w:rPr>
                <w:szCs w:val="22"/>
                <w:lang w:eastAsia="zh-CN"/>
              </w:rPr>
              <w:t>-</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A9417E" w:rsidP="00CA10AC">
            <w:pPr>
              <w:pStyle w:val="BodyText"/>
              <w:tabs>
                <w:tab w:val="left" w:pos="3828"/>
              </w:tabs>
              <w:jc w:val="right"/>
              <w:rPr>
                <w:szCs w:val="22"/>
                <w:lang w:eastAsia="zh-CN"/>
              </w:rPr>
            </w:pPr>
            <w:r w:rsidRPr="008C2F68">
              <w:rPr>
                <w:szCs w:val="22"/>
                <w:lang w:eastAsia="zh-CN"/>
              </w:rPr>
              <w:t>3</w:t>
            </w:r>
            <w:r w:rsidR="00CA10AC" w:rsidRPr="008C2F68">
              <w:rPr>
                <w:szCs w:val="22"/>
                <w:lang w:eastAsia="zh-CN"/>
              </w:rPr>
              <w:t>14</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loans</w:t>
            </w:r>
          </w:p>
        </w:tc>
        <w:tc>
          <w:tcPr>
            <w:tcW w:w="1843" w:type="dxa"/>
            <w:tcBorders>
              <w:bottom w:val="single" w:sz="4" w:space="0" w:color="auto"/>
            </w:tcBorders>
          </w:tcPr>
          <w:p w:rsidR="00A9417E" w:rsidRPr="008C2F68" w:rsidRDefault="00E60FAE" w:rsidP="00A9417E">
            <w:pPr>
              <w:pStyle w:val="BodyText"/>
              <w:tabs>
                <w:tab w:val="left" w:pos="3828"/>
              </w:tabs>
              <w:jc w:val="right"/>
              <w:rPr>
                <w:szCs w:val="22"/>
                <w:lang w:eastAsia="zh-CN"/>
              </w:rPr>
            </w:pPr>
            <w:r w:rsidRPr="008C2F68">
              <w:rPr>
                <w:szCs w:val="22"/>
                <w:lang w:eastAsia="zh-CN"/>
              </w:rPr>
              <w:t>157</w:t>
            </w: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A9417E" w:rsidP="00A9417E">
            <w:pPr>
              <w:pStyle w:val="BodyText"/>
              <w:tabs>
                <w:tab w:val="left" w:pos="3828"/>
              </w:tabs>
              <w:jc w:val="right"/>
              <w:rPr>
                <w:szCs w:val="22"/>
                <w:lang w:eastAsia="zh-CN"/>
              </w:rPr>
            </w:pPr>
            <w:r w:rsidRPr="008C2F68">
              <w:rPr>
                <w:szCs w:val="22"/>
                <w:lang w:eastAsia="zh-CN"/>
              </w:rPr>
              <w:t>4</w:t>
            </w:r>
            <w:r w:rsidR="00CA10AC" w:rsidRPr="008C2F68">
              <w:rPr>
                <w:szCs w:val="22"/>
                <w:lang w:eastAsia="zh-CN"/>
              </w:rPr>
              <w:t>29</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tc>
        <w:tc>
          <w:tcPr>
            <w:tcW w:w="1843" w:type="dxa"/>
          </w:tcPr>
          <w:p w:rsidR="00A9417E" w:rsidRPr="008C2F68" w:rsidRDefault="00E60FAE" w:rsidP="00A9417E">
            <w:pPr>
              <w:pStyle w:val="BodyText"/>
              <w:tabs>
                <w:tab w:val="left" w:pos="3828"/>
              </w:tabs>
              <w:jc w:val="right"/>
              <w:rPr>
                <w:b/>
                <w:szCs w:val="22"/>
              </w:rPr>
            </w:pPr>
            <w:r w:rsidRPr="008C2F68">
              <w:rPr>
                <w:b/>
                <w:szCs w:val="22"/>
              </w:rPr>
              <w:t>157</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CA10AC" w:rsidP="00A9417E">
            <w:pPr>
              <w:pStyle w:val="BodyText"/>
              <w:tabs>
                <w:tab w:val="left" w:pos="3828"/>
              </w:tabs>
              <w:jc w:val="right"/>
              <w:rPr>
                <w:b/>
                <w:szCs w:val="22"/>
              </w:rPr>
            </w:pPr>
            <w:r w:rsidRPr="008C2F68">
              <w:rPr>
                <w:b/>
                <w:szCs w:val="22"/>
              </w:rPr>
              <w:t>743</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p w:rsidR="00A9417E" w:rsidRPr="008C2F68" w:rsidRDefault="00A9417E" w:rsidP="00A9417E">
            <w:pPr>
              <w:pStyle w:val="BodyText"/>
              <w:tabs>
                <w:tab w:val="left" w:pos="3828"/>
              </w:tabs>
              <w:rPr>
                <w:b/>
                <w:bCs/>
                <w:szCs w:val="22"/>
              </w:rPr>
            </w:pPr>
            <w:r w:rsidRPr="008C2F68">
              <w:rPr>
                <w:b/>
                <w:bCs/>
                <w:szCs w:val="22"/>
              </w:rPr>
              <w:t>Short Term Borrowings</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A9417E" w:rsidP="00A9417E">
            <w:pPr>
              <w:pStyle w:val="BodyText"/>
              <w:tabs>
                <w:tab w:val="left" w:pos="3828"/>
              </w:tabs>
              <w:jc w:val="right"/>
              <w:rPr>
                <w:szCs w:val="22"/>
              </w:rPr>
            </w:pP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Hire purchase creditors</w:t>
            </w:r>
          </w:p>
        </w:tc>
        <w:tc>
          <w:tcPr>
            <w:tcW w:w="1843" w:type="dxa"/>
          </w:tcPr>
          <w:p w:rsidR="00A9417E" w:rsidRPr="008C2F68" w:rsidRDefault="00A9417E" w:rsidP="00A9417E">
            <w:pPr>
              <w:pStyle w:val="BodyText"/>
              <w:tabs>
                <w:tab w:val="left" w:pos="3828"/>
              </w:tabs>
              <w:jc w:val="right"/>
              <w:rPr>
                <w:szCs w:val="22"/>
                <w:lang w:eastAsia="zh-CN"/>
              </w:rPr>
            </w:pPr>
            <w:r w:rsidRPr="008C2F68">
              <w:rPr>
                <w:szCs w:val="22"/>
                <w:lang w:eastAsia="zh-CN"/>
              </w:rPr>
              <w:t>-</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Pr>
          <w:p w:rsidR="00A9417E" w:rsidRPr="008C2F68" w:rsidRDefault="00CA10AC" w:rsidP="00A9417E">
            <w:pPr>
              <w:pStyle w:val="BodyText"/>
              <w:tabs>
                <w:tab w:val="left" w:pos="3828"/>
              </w:tabs>
              <w:jc w:val="right"/>
              <w:rPr>
                <w:szCs w:val="22"/>
              </w:rPr>
            </w:pPr>
            <w:r w:rsidRPr="008C2F68">
              <w:rPr>
                <w:szCs w:val="22"/>
              </w:rPr>
              <w:t>100</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loans</w:t>
            </w:r>
          </w:p>
        </w:tc>
        <w:tc>
          <w:tcPr>
            <w:tcW w:w="1843" w:type="dxa"/>
            <w:tcBorders>
              <w:bottom w:val="single" w:sz="4" w:space="0" w:color="auto"/>
            </w:tcBorders>
          </w:tcPr>
          <w:p w:rsidR="00A9417E" w:rsidRPr="008C2F68" w:rsidRDefault="00A9417E" w:rsidP="00A9417E">
            <w:pPr>
              <w:pStyle w:val="BodyText"/>
              <w:tabs>
                <w:tab w:val="left" w:pos="3828"/>
              </w:tabs>
              <w:jc w:val="right"/>
              <w:rPr>
                <w:szCs w:val="22"/>
                <w:lang w:eastAsia="zh-CN"/>
              </w:rPr>
            </w:pPr>
            <w:r w:rsidRPr="008C2F68">
              <w:rPr>
                <w:rFonts w:hint="eastAsia"/>
                <w:szCs w:val="22"/>
                <w:lang w:eastAsia="zh-CN"/>
              </w:rPr>
              <w:t>27</w:t>
            </w:r>
            <w:r w:rsidRPr="008C2F68">
              <w:rPr>
                <w:szCs w:val="22"/>
                <w:lang w:eastAsia="zh-CN"/>
              </w:rPr>
              <w:t>2</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8C2F68" w:rsidRDefault="00A9417E" w:rsidP="00A9417E">
            <w:pPr>
              <w:pStyle w:val="BodyText"/>
              <w:tabs>
                <w:tab w:val="left" w:pos="3828"/>
              </w:tabs>
              <w:jc w:val="right"/>
              <w:rPr>
                <w:szCs w:val="22"/>
              </w:rPr>
            </w:pPr>
            <w:r w:rsidRPr="008C2F68">
              <w:rPr>
                <w:szCs w:val="22"/>
              </w:rPr>
              <w:t>272</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E60FAE" w:rsidP="00A9417E">
            <w:pPr>
              <w:pStyle w:val="BodyText"/>
              <w:tabs>
                <w:tab w:val="left" w:pos="3828"/>
              </w:tabs>
              <w:jc w:val="right"/>
              <w:rPr>
                <w:b/>
                <w:bCs/>
                <w:szCs w:val="22"/>
                <w:lang w:eastAsia="zh-CN"/>
              </w:rPr>
            </w:pPr>
            <w:r w:rsidRPr="008C2F68">
              <w:rPr>
                <w:b/>
                <w:bCs/>
                <w:szCs w:val="22"/>
                <w:lang w:eastAsia="zh-CN"/>
              </w:rPr>
              <w:t>272</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8C2F68" w:rsidRDefault="00CA10AC" w:rsidP="00A9417E">
            <w:pPr>
              <w:pStyle w:val="BodyText"/>
              <w:tabs>
                <w:tab w:val="left" w:pos="3828"/>
              </w:tabs>
              <w:jc w:val="right"/>
              <w:rPr>
                <w:b/>
                <w:bCs/>
                <w:szCs w:val="22"/>
              </w:rPr>
            </w:pPr>
            <w:r w:rsidRPr="008C2F68">
              <w:rPr>
                <w:b/>
                <w:bCs/>
                <w:szCs w:val="22"/>
              </w:rPr>
              <w:t>372</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21197A" w:rsidP="00A9417E">
            <w:pPr>
              <w:pStyle w:val="BodyText"/>
              <w:tabs>
                <w:tab w:val="left" w:pos="3828"/>
              </w:tabs>
              <w:jc w:val="right"/>
              <w:rPr>
                <w:b/>
                <w:bCs/>
                <w:szCs w:val="22"/>
                <w:lang w:eastAsia="zh-CN"/>
              </w:rPr>
            </w:pPr>
            <w:r w:rsidRPr="008C2F68">
              <w:rPr>
                <w:b/>
                <w:bCs/>
                <w:szCs w:val="22"/>
                <w:lang w:eastAsia="zh-CN"/>
              </w:rPr>
              <w:t>429</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8C2F68" w:rsidRDefault="00A9417E" w:rsidP="00A9417E">
            <w:pPr>
              <w:pStyle w:val="BodyText"/>
              <w:tabs>
                <w:tab w:val="left" w:pos="3828"/>
              </w:tabs>
              <w:jc w:val="right"/>
              <w:rPr>
                <w:b/>
                <w:bCs/>
                <w:szCs w:val="22"/>
              </w:rPr>
            </w:pPr>
            <w:r w:rsidRPr="008C2F68">
              <w:rPr>
                <w:b/>
                <w:bCs/>
                <w:szCs w:val="22"/>
              </w:rPr>
              <w:t>1,</w:t>
            </w:r>
            <w:r w:rsidR="00CA10AC" w:rsidRPr="008C2F68">
              <w:rPr>
                <w:b/>
                <w:bCs/>
                <w:szCs w:val="22"/>
              </w:rPr>
              <w:t>115</w:t>
            </w:r>
          </w:p>
        </w:tc>
        <w:tc>
          <w:tcPr>
            <w:tcW w:w="450" w:type="dxa"/>
          </w:tcPr>
          <w:p w:rsidR="00A9417E" w:rsidRPr="008C2F68" w:rsidRDefault="00A9417E" w:rsidP="00A9417E">
            <w:pPr>
              <w:pStyle w:val="BodyText"/>
              <w:tabs>
                <w:tab w:val="left" w:pos="3828"/>
              </w:tabs>
              <w:jc w:val="right"/>
              <w:rPr>
                <w:b/>
                <w:bCs/>
                <w:szCs w:val="22"/>
              </w:rPr>
            </w:pPr>
          </w:p>
        </w:tc>
      </w:tr>
    </w:tbl>
    <w:p w:rsidR="00455492" w:rsidRPr="008C2F68" w:rsidRDefault="00455492" w:rsidP="00DF2E35">
      <w:pPr>
        <w:rPr>
          <w:szCs w:val="22"/>
        </w:rPr>
      </w:pPr>
    </w:p>
    <w:p w:rsidR="00455492" w:rsidRPr="008C2F68" w:rsidRDefault="00455492" w:rsidP="00455492">
      <w:r w:rsidRPr="008C2F68">
        <w:br w:type="page"/>
      </w:r>
    </w:p>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r>
      <w:proofErr w:type="spellStart"/>
      <w:r w:rsidRPr="008C2F68">
        <w:rPr>
          <w:b/>
          <w:bCs/>
          <w:szCs w:val="22"/>
        </w:rPr>
        <w:t>Realised</w:t>
      </w:r>
      <w:proofErr w:type="spellEnd"/>
      <w:r w:rsidRPr="008C2F68">
        <w:rPr>
          <w:b/>
          <w:bCs/>
          <w:szCs w:val="22"/>
        </w:rPr>
        <w:t xml:space="preserve"> and </w:t>
      </w:r>
      <w:proofErr w:type="spellStart"/>
      <w:r w:rsidRPr="008C2F68">
        <w:rPr>
          <w:b/>
          <w:bCs/>
          <w:szCs w:val="22"/>
        </w:rPr>
        <w:t>Unrealised</w:t>
      </w:r>
      <w:proofErr w:type="spellEnd"/>
      <w:r w:rsidRPr="008C2F68">
        <w:rPr>
          <w:b/>
          <w:bCs/>
          <w:szCs w:val="22"/>
        </w:rPr>
        <w:t xml:space="preserve"> </w:t>
      </w:r>
      <w:r w:rsidR="00786D30" w:rsidRPr="008C2F68">
        <w:rPr>
          <w:b/>
          <w:bCs/>
          <w:szCs w:val="22"/>
        </w:rPr>
        <w:t>Retained Profits</w:t>
      </w:r>
    </w:p>
    <w:p w:rsidR="00611601" w:rsidRPr="008C2F68" w:rsidRDefault="00611601" w:rsidP="006C0762">
      <w:pPr>
        <w:pStyle w:val="BodyText"/>
        <w:rPr>
          <w:b/>
          <w:bCs/>
          <w:szCs w:val="22"/>
        </w:rPr>
      </w:pPr>
      <w:r w:rsidRPr="008C2F68">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8C2F68" w:rsidTr="001A1241">
        <w:tc>
          <w:tcPr>
            <w:tcW w:w="5310"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BD3179" w:rsidP="002D3B9C">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3</w:t>
            </w:r>
            <w:r w:rsidR="002D3B9C" w:rsidRPr="008C2F68">
              <w:rPr>
                <w:b/>
                <w:bCs/>
                <w:szCs w:val="22"/>
              </w:rPr>
              <w:t>0</w:t>
            </w:r>
            <w:r w:rsidR="00522BD9" w:rsidRPr="008C2F68">
              <w:rPr>
                <w:b/>
                <w:bCs/>
                <w:szCs w:val="22"/>
              </w:rPr>
              <w:t>.</w:t>
            </w:r>
            <w:r w:rsidR="00237162" w:rsidRPr="008C2F68">
              <w:rPr>
                <w:b/>
                <w:bCs/>
                <w:szCs w:val="22"/>
              </w:rPr>
              <w:t>0</w:t>
            </w:r>
            <w:r w:rsidR="009652B6" w:rsidRPr="008C2F68">
              <w:rPr>
                <w:b/>
                <w:bCs/>
                <w:szCs w:val="22"/>
              </w:rPr>
              <w:t>9</w:t>
            </w:r>
            <w:r w:rsidR="00522BD9" w:rsidRPr="008C2F68">
              <w:rPr>
                <w:b/>
                <w:bCs/>
                <w:szCs w:val="22"/>
              </w:rPr>
              <w:t>.</w:t>
            </w:r>
            <w:r w:rsidR="00611601" w:rsidRPr="008C2F68">
              <w:rPr>
                <w:b/>
                <w:bCs/>
                <w:szCs w:val="22"/>
              </w:rPr>
              <w:t>201</w:t>
            </w:r>
            <w:r w:rsidR="00237162" w:rsidRPr="008C2F68">
              <w:rPr>
                <w:b/>
                <w:bCs/>
                <w:szCs w:val="22"/>
              </w:rPr>
              <w:t>3</w:t>
            </w:r>
          </w:p>
        </w:tc>
        <w:tc>
          <w:tcPr>
            <w:tcW w:w="2072" w:type="dxa"/>
            <w:shd w:val="clear" w:color="auto" w:fill="auto"/>
          </w:tcPr>
          <w:p w:rsidR="00611601" w:rsidRPr="008C2F68" w:rsidRDefault="00BD3179" w:rsidP="007267D1">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ended 3</w:t>
            </w:r>
            <w:r w:rsidR="007267D1" w:rsidRPr="008C2F68">
              <w:rPr>
                <w:b/>
                <w:bCs/>
                <w:szCs w:val="22"/>
              </w:rPr>
              <w:t>0</w:t>
            </w:r>
            <w:r w:rsidR="00522BD9" w:rsidRPr="008C2F68">
              <w:rPr>
                <w:b/>
                <w:bCs/>
                <w:szCs w:val="22"/>
              </w:rPr>
              <w:t>.</w:t>
            </w:r>
            <w:r w:rsidR="002D3B9C" w:rsidRPr="008C2F68">
              <w:rPr>
                <w:b/>
                <w:bCs/>
                <w:szCs w:val="22"/>
              </w:rPr>
              <w:t>0</w:t>
            </w:r>
            <w:r w:rsidR="007267D1" w:rsidRPr="008C2F68">
              <w:rPr>
                <w:b/>
                <w:bCs/>
                <w:szCs w:val="22"/>
              </w:rPr>
              <w:t>6</w:t>
            </w:r>
            <w:r w:rsidR="00522BD9" w:rsidRPr="008C2F68">
              <w:rPr>
                <w:b/>
                <w:bCs/>
                <w:szCs w:val="22"/>
              </w:rPr>
              <w:t>.</w:t>
            </w:r>
            <w:r w:rsidR="000038C3" w:rsidRPr="008C2F68">
              <w:rPr>
                <w:b/>
                <w:bCs/>
                <w:szCs w:val="22"/>
              </w:rPr>
              <w:t>201</w:t>
            </w:r>
            <w:r w:rsidR="002D3B9C" w:rsidRPr="008C2F68">
              <w:rPr>
                <w:b/>
                <w:bCs/>
                <w:szCs w:val="22"/>
              </w:rPr>
              <w:t>3</w:t>
            </w:r>
          </w:p>
        </w:tc>
      </w:tr>
      <w:tr w:rsidR="00DE62D1" w:rsidRPr="008C2F68" w:rsidTr="001A1241">
        <w:tc>
          <w:tcPr>
            <w:tcW w:w="5310" w:type="dxa"/>
            <w:shd w:val="clear" w:color="auto" w:fill="auto"/>
          </w:tcPr>
          <w:p w:rsidR="00DE62D1" w:rsidRPr="008C2F68" w:rsidRDefault="00DE62D1" w:rsidP="006C0762">
            <w:pPr>
              <w:pStyle w:val="BodyText"/>
              <w:rPr>
                <w:bCs/>
                <w:szCs w:val="22"/>
              </w:rPr>
            </w:pPr>
          </w:p>
        </w:tc>
        <w:tc>
          <w:tcPr>
            <w:tcW w:w="2072"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2072"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1A1241">
        <w:tc>
          <w:tcPr>
            <w:tcW w:w="5310" w:type="dxa"/>
            <w:shd w:val="clear" w:color="auto" w:fill="auto"/>
          </w:tcPr>
          <w:p w:rsidR="00611601" w:rsidRPr="008C2F68" w:rsidRDefault="00611601" w:rsidP="006C0762">
            <w:pPr>
              <w:pStyle w:val="BodyText"/>
              <w:rPr>
                <w:bCs/>
                <w:szCs w:val="22"/>
              </w:rPr>
            </w:pPr>
            <w:r w:rsidRPr="008C2F68">
              <w:rPr>
                <w:bCs/>
                <w:szCs w:val="22"/>
              </w:rPr>
              <w:t>Total retained profits of KIB and its subsidiaries</w:t>
            </w:r>
            <w:r w:rsidR="00B526DD" w:rsidRPr="008C2F68">
              <w:rPr>
                <w:bCs/>
                <w:szCs w:val="22"/>
              </w:rPr>
              <w:t>:</w:t>
            </w:r>
          </w:p>
        </w:tc>
        <w:tc>
          <w:tcPr>
            <w:tcW w:w="2072"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611601" w:rsidP="00B05B30">
            <w:pPr>
              <w:pStyle w:val="BodyText"/>
              <w:jc w:val="right"/>
              <w:rPr>
                <w:b/>
                <w:bCs/>
                <w:szCs w:val="22"/>
              </w:rPr>
            </w:pPr>
          </w:p>
        </w:tc>
      </w:tr>
      <w:tr w:rsidR="002D3B9C" w:rsidRPr="008C2F68" w:rsidTr="001A1241">
        <w:tc>
          <w:tcPr>
            <w:tcW w:w="5310" w:type="dxa"/>
            <w:shd w:val="clear" w:color="auto" w:fill="auto"/>
          </w:tcPr>
          <w:p w:rsidR="002D3B9C" w:rsidRPr="008C2F68" w:rsidRDefault="002D3B9C"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2072" w:type="dxa"/>
            <w:shd w:val="clear" w:color="auto" w:fill="auto"/>
          </w:tcPr>
          <w:p w:rsidR="002D3B9C" w:rsidRPr="008C2F68" w:rsidRDefault="00E46D3D" w:rsidP="00E46D3D">
            <w:pPr>
              <w:pStyle w:val="BodyText"/>
              <w:tabs>
                <w:tab w:val="clear" w:pos="720"/>
                <w:tab w:val="clear" w:pos="1080"/>
                <w:tab w:val="clear" w:pos="1440"/>
                <w:tab w:val="decimal" w:pos="1782"/>
              </w:tabs>
              <w:rPr>
                <w:bCs/>
                <w:szCs w:val="22"/>
                <w:lang w:eastAsia="zh-CN"/>
              </w:rPr>
            </w:pPr>
            <w:r w:rsidRPr="008C2F68">
              <w:rPr>
                <w:bCs/>
                <w:szCs w:val="22"/>
                <w:lang w:eastAsia="zh-CN"/>
              </w:rPr>
              <w:t>29,</w:t>
            </w:r>
            <w:r w:rsidR="009652B6" w:rsidRPr="008C2F68">
              <w:rPr>
                <w:bCs/>
                <w:szCs w:val="22"/>
                <w:lang w:eastAsia="zh-CN"/>
              </w:rPr>
              <w:t>725</w:t>
            </w:r>
          </w:p>
        </w:tc>
        <w:tc>
          <w:tcPr>
            <w:tcW w:w="2072" w:type="dxa"/>
            <w:shd w:val="clear" w:color="auto" w:fill="auto"/>
          </w:tcPr>
          <w:p w:rsidR="002D3B9C" w:rsidRPr="008C2F68" w:rsidRDefault="002D3B9C" w:rsidP="00EA2834">
            <w:pPr>
              <w:pStyle w:val="BodyText"/>
              <w:tabs>
                <w:tab w:val="clear" w:pos="720"/>
                <w:tab w:val="clear" w:pos="1080"/>
                <w:tab w:val="clear" w:pos="1440"/>
                <w:tab w:val="decimal" w:pos="1782"/>
              </w:tabs>
              <w:rPr>
                <w:bCs/>
                <w:szCs w:val="22"/>
                <w:lang w:eastAsia="zh-CN"/>
              </w:rPr>
            </w:pPr>
            <w:r w:rsidRPr="008C2F68">
              <w:rPr>
                <w:bCs/>
                <w:szCs w:val="22"/>
                <w:lang w:eastAsia="zh-CN"/>
              </w:rPr>
              <w:t>2</w:t>
            </w:r>
            <w:r w:rsidR="007267D1" w:rsidRPr="008C2F68">
              <w:rPr>
                <w:bCs/>
                <w:szCs w:val="22"/>
                <w:lang w:eastAsia="zh-CN"/>
              </w:rPr>
              <w:t>9,288</w:t>
            </w:r>
          </w:p>
        </w:tc>
      </w:tr>
      <w:tr w:rsidR="002D3B9C" w:rsidRPr="008C2F68" w:rsidTr="001A1241">
        <w:tc>
          <w:tcPr>
            <w:tcW w:w="5310" w:type="dxa"/>
            <w:shd w:val="clear" w:color="auto" w:fill="auto"/>
          </w:tcPr>
          <w:p w:rsidR="002D3B9C" w:rsidRPr="008C2F68" w:rsidRDefault="002D3B9C" w:rsidP="00E56779">
            <w:pPr>
              <w:pStyle w:val="BodyText"/>
              <w:numPr>
                <w:ilvl w:val="1"/>
                <w:numId w:val="1"/>
              </w:numPr>
              <w:ind w:hanging="1188"/>
              <w:rPr>
                <w:bCs/>
                <w:szCs w:val="22"/>
              </w:rPr>
            </w:pPr>
            <w:proofErr w:type="spellStart"/>
            <w:r w:rsidRPr="008C2F68">
              <w:rPr>
                <w:bCs/>
                <w:szCs w:val="22"/>
              </w:rPr>
              <w:t>Unrealised</w:t>
            </w:r>
            <w:proofErr w:type="spellEnd"/>
          </w:p>
        </w:tc>
        <w:tc>
          <w:tcPr>
            <w:tcW w:w="2072" w:type="dxa"/>
            <w:tcBorders>
              <w:bottom w:val="single" w:sz="4" w:space="0" w:color="auto"/>
            </w:tcBorders>
            <w:shd w:val="clear" w:color="auto" w:fill="auto"/>
          </w:tcPr>
          <w:p w:rsidR="002D3B9C" w:rsidRPr="008C2F68" w:rsidRDefault="00E46D3D" w:rsidP="00E24D46">
            <w:pPr>
              <w:pStyle w:val="BodyText"/>
              <w:tabs>
                <w:tab w:val="clear" w:pos="720"/>
                <w:tab w:val="clear" w:pos="1080"/>
                <w:tab w:val="clear" w:pos="1440"/>
                <w:tab w:val="decimal" w:pos="1782"/>
              </w:tabs>
              <w:rPr>
                <w:bCs/>
                <w:szCs w:val="22"/>
              </w:rPr>
            </w:pPr>
            <w:r w:rsidRPr="008C2F68">
              <w:rPr>
                <w:bCs/>
                <w:szCs w:val="22"/>
              </w:rPr>
              <w:t>(1,522)</w:t>
            </w:r>
          </w:p>
        </w:tc>
        <w:tc>
          <w:tcPr>
            <w:tcW w:w="2072" w:type="dxa"/>
            <w:tcBorders>
              <w:bottom w:val="single" w:sz="4" w:space="0" w:color="auto"/>
            </w:tcBorders>
            <w:shd w:val="clear" w:color="auto" w:fill="auto"/>
          </w:tcPr>
          <w:p w:rsidR="002D3B9C" w:rsidRPr="008C2F68" w:rsidRDefault="002D3B9C" w:rsidP="00EA2834">
            <w:pPr>
              <w:pStyle w:val="BodyText"/>
              <w:tabs>
                <w:tab w:val="clear" w:pos="720"/>
                <w:tab w:val="clear" w:pos="1080"/>
                <w:tab w:val="clear" w:pos="1440"/>
                <w:tab w:val="decimal" w:pos="1782"/>
              </w:tabs>
              <w:rPr>
                <w:bCs/>
                <w:szCs w:val="22"/>
              </w:rPr>
            </w:pPr>
            <w:r w:rsidRPr="008C2F68">
              <w:rPr>
                <w:bCs/>
                <w:szCs w:val="22"/>
              </w:rPr>
              <w:t>(1,522)</w:t>
            </w:r>
          </w:p>
        </w:tc>
      </w:tr>
      <w:tr w:rsidR="002D3B9C" w:rsidRPr="008C2F68" w:rsidTr="001A1241">
        <w:tc>
          <w:tcPr>
            <w:tcW w:w="5310" w:type="dxa"/>
            <w:shd w:val="clear" w:color="auto" w:fill="auto"/>
          </w:tcPr>
          <w:p w:rsidR="002D3B9C" w:rsidRPr="008C2F68" w:rsidRDefault="002D3B9C" w:rsidP="006C0762">
            <w:pPr>
              <w:pStyle w:val="BodyText"/>
              <w:rPr>
                <w:bCs/>
                <w:szCs w:val="22"/>
              </w:rPr>
            </w:pPr>
          </w:p>
        </w:tc>
        <w:tc>
          <w:tcPr>
            <w:tcW w:w="2072" w:type="dxa"/>
            <w:tcBorders>
              <w:top w:val="single" w:sz="4" w:space="0" w:color="auto"/>
              <w:bottom w:val="single" w:sz="4" w:space="0" w:color="auto"/>
            </w:tcBorders>
            <w:shd w:val="clear" w:color="auto" w:fill="auto"/>
          </w:tcPr>
          <w:p w:rsidR="002D3B9C" w:rsidRPr="008C2F68" w:rsidRDefault="00E46D3D" w:rsidP="00504760">
            <w:pPr>
              <w:pStyle w:val="BodyText"/>
              <w:tabs>
                <w:tab w:val="clear" w:pos="720"/>
                <w:tab w:val="clear" w:pos="1080"/>
                <w:tab w:val="clear" w:pos="1440"/>
                <w:tab w:val="decimal" w:pos="1782"/>
              </w:tabs>
              <w:rPr>
                <w:bCs/>
                <w:szCs w:val="22"/>
                <w:lang w:eastAsia="zh-CN"/>
              </w:rPr>
            </w:pPr>
            <w:r w:rsidRPr="008C2F68">
              <w:rPr>
                <w:bCs/>
                <w:szCs w:val="22"/>
                <w:lang w:eastAsia="zh-CN"/>
              </w:rPr>
              <w:t>2</w:t>
            </w:r>
            <w:r w:rsidR="009652B6" w:rsidRPr="008C2F68">
              <w:rPr>
                <w:bCs/>
                <w:szCs w:val="22"/>
                <w:lang w:eastAsia="zh-CN"/>
              </w:rPr>
              <w:t>8,203</w:t>
            </w:r>
          </w:p>
        </w:tc>
        <w:tc>
          <w:tcPr>
            <w:tcW w:w="2072" w:type="dxa"/>
            <w:tcBorders>
              <w:top w:val="single" w:sz="4" w:space="0" w:color="auto"/>
              <w:bottom w:val="single" w:sz="4" w:space="0" w:color="auto"/>
            </w:tcBorders>
            <w:shd w:val="clear" w:color="auto" w:fill="auto"/>
          </w:tcPr>
          <w:p w:rsidR="002D3B9C" w:rsidRPr="008C2F68" w:rsidRDefault="002D3B9C" w:rsidP="00EA2834">
            <w:pPr>
              <w:pStyle w:val="BodyText"/>
              <w:tabs>
                <w:tab w:val="clear" w:pos="720"/>
                <w:tab w:val="clear" w:pos="1080"/>
                <w:tab w:val="clear" w:pos="1440"/>
                <w:tab w:val="decimal" w:pos="1782"/>
              </w:tabs>
              <w:rPr>
                <w:bCs/>
                <w:szCs w:val="22"/>
                <w:lang w:eastAsia="zh-CN"/>
              </w:rPr>
            </w:pPr>
            <w:r w:rsidRPr="008C2F68">
              <w:rPr>
                <w:bCs/>
                <w:szCs w:val="22"/>
                <w:lang w:eastAsia="zh-CN"/>
              </w:rPr>
              <w:t>2</w:t>
            </w:r>
            <w:r w:rsidR="007267D1" w:rsidRPr="008C2F68">
              <w:rPr>
                <w:bCs/>
                <w:szCs w:val="22"/>
                <w:lang w:eastAsia="zh-CN"/>
              </w:rPr>
              <w:t>7,766</w:t>
            </w:r>
          </w:p>
        </w:tc>
      </w:tr>
      <w:tr w:rsidR="002D3B9C" w:rsidRPr="008C2F68" w:rsidTr="001A1241">
        <w:tc>
          <w:tcPr>
            <w:tcW w:w="5310" w:type="dxa"/>
            <w:shd w:val="clear" w:color="auto" w:fill="auto"/>
          </w:tcPr>
          <w:p w:rsidR="002D3B9C" w:rsidRPr="008C2F68" w:rsidRDefault="002D3B9C" w:rsidP="00B526DD">
            <w:pPr>
              <w:pStyle w:val="BodyText"/>
              <w:rPr>
                <w:bCs/>
                <w:szCs w:val="22"/>
              </w:rPr>
            </w:pPr>
            <w:r w:rsidRPr="008C2F68">
              <w:rPr>
                <w:bCs/>
                <w:szCs w:val="22"/>
              </w:rPr>
              <w:t xml:space="preserve">Total share of retained profits from </w:t>
            </w:r>
            <w:r w:rsidR="00297FF9" w:rsidRPr="008C2F68">
              <w:rPr>
                <w:bCs/>
                <w:szCs w:val="22"/>
              </w:rPr>
              <w:t xml:space="preserve">a </w:t>
            </w:r>
            <w:r w:rsidRPr="008C2F68">
              <w:rPr>
                <w:bCs/>
                <w:szCs w:val="22"/>
              </w:rPr>
              <w:t>jointly controlled entity:</w:t>
            </w:r>
          </w:p>
        </w:tc>
        <w:tc>
          <w:tcPr>
            <w:tcW w:w="2072" w:type="dxa"/>
            <w:tcBorders>
              <w:top w:val="single" w:sz="4" w:space="0" w:color="auto"/>
            </w:tcBorders>
            <w:shd w:val="clear" w:color="auto" w:fill="auto"/>
          </w:tcPr>
          <w:p w:rsidR="002D3B9C" w:rsidRPr="008C2F68" w:rsidRDefault="002D3B9C" w:rsidP="00B526DD">
            <w:pPr>
              <w:pStyle w:val="BodyText"/>
              <w:jc w:val="right"/>
              <w:rPr>
                <w:bCs/>
                <w:szCs w:val="22"/>
              </w:rPr>
            </w:pPr>
          </w:p>
        </w:tc>
        <w:tc>
          <w:tcPr>
            <w:tcW w:w="2072" w:type="dxa"/>
            <w:tcBorders>
              <w:top w:val="single" w:sz="4" w:space="0" w:color="auto"/>
            </w:tcBorders>
            <w:shd w:val="clear" w:color="auto" w:fill="auto"/>
          </w:tcPr>
          <w:p w:rsidR="002D3B9C" w:rsidRPr="008C2F68" w:rsidRDefault="002D3B9C" w:rsidP="00EA2834">
            <w:pPr>
              <w:pStyle w:val="BodyText"/>
              <w:jc w:val="right"/>
              <w:rPr>
                <w:bCs/>
                <w:szCs w:val="22"/>
              </w:rPr>
            </w:pPr>
          </w:p>
        </w:tc>
      </w:tr>
      <w:tr w:rsidR="002D3B9C" w:rsidRPr="008C2F68" w:rsidTr="001A1241">
        <w:tc>
          <w:tcPr>
            <w:tcW w:w="5310" w:type="dxa"/>
            <w:shd w:val="clear" w:color="auto" w:fill="auto"/>
          </w:tcPr>
          <w:p w:rsidR="002D3B9C" w:rsidRPr="008C2F68" w:rsidRDefault="002D3B9C" w:rsidP="00E56779">
            <w:pPr>
              <w:pStyle w:val="BodyText"/>
              <w:numPr>
                <w:ilvl w:val="1"/>
                <w:numId w:val="1"/>
              </w:numPr>
              <w:ind w:hanging="1188"/>
              <w:rPr>
                <w:bCs/>
                <w:szCs w:val="22"/>
              </w:rPr>
            </w:pPr>
            <w:proofErr w:type="spellStart"/>
            <w:r w:rsidRPr="008C2F68">
              <w:rPr>
                <w:bCs/>
                <w:szCs w:val="22"/>
              </w:rPr>
              <w:t>Realised</w:t>
            </w:r>
            <w:proofErr w:type="spellEnd"/>
            <w:r w:rsidRPr="008C2F68">
              <w:rPr>
                <w:bCs/>
                <w:szCs w:val="22"/>
              </w:rPr>
              <w:t xml:space="preserve"> </w:t>
            </w:r>
          </w:p>
        </w:tc>
        <w:tc>
          <w:tcPr>
            <w:tcW w:w="2072" w:type="dxa"/>
            <w:shd w:val="clear" w:color="auto" w:fill="auto"/>
          </w:tcPr>
          <w:p w:rsidR="002D3B9C" w:rsidRPr="008C2F68" w:rsidRDefault="009652B6" w:rsidP="00C95310">
            <w:pPr>
              <w:pStyle w:val="BodyText"/>
              <w:jc w:val="right"/>
              <w:rPr>
                <w:bCs/>
                <w:szCs w:val="22"/>
                <w:lang w:eastAsia="zh-CN"/>
              </w:rPr>
            </w:pPr>
            <w:r w:rsidRPr="008C2F68">
              <w:rPr>
                <w:bCs/>
                <w:szCs w:val="22"/>
                <w:lang w:eastAsia="zh-CN"/>
              </w:rPr>
              <w:t>824</w:t>
            </w:r>
          </w:p>
        </w:tc>
        <w:tc>
          <w:tcPr>
            <w:tcW w:w="2072" w:type="dxa"/>
            <w:shd w:val="clear" w:color="auto" w:fill="auto"/>
          </w:tcPr>
          <w:p w:rsidR="002D3B9C" w:rsidRPr="008C2F68" w:rsidRDefault="002D3B9C" w:rsidP="007267D1">
            <w:pPr>
              <w:pStyle w:val="BodyText"/>
              <w:jc w:val="right"/>
              <w:rPr>
                <w:bCs/>
                <w:szCs w:val="22"/>
                <w:lang w:eastAsia="zh-CN"/>
              </w:rPr>
            </w:pPr>
            <w:r w:rsidRPr="008C2F68">
              <w:rPr>
                <w:bCs/>
                <w:szCs w:val="22"/>
                <w:lang w:eastAsia="zh-CN"/>
              </w:rPr>
              <w:t>69</w:t>
            </w:r>
            <w:r w:rsidR="007267D1" w:rsidRPr="008C2F68">
              <w:rPr>
                <w:bCs/>
                <w:szCs w:val="22"/>
                <w:lang w:eastAsia="zh-CN"/>
              </w:rPr>
              <w:t>5</w:t>
            </w:r>
          </w:p>
        </w:tc>
      </w:tr>
      <w:tr w:rsidR="002D3B9C" w:rsidRPr="008C2F68" w:rsidTr="001A1241">
        <w:tc>
          <w:tcPr>
            <w:tcW w:w="5310" w:type="dxa"/>
            <w:shd w:val="clear" w:color="auto" w:fill="auto"/>
          </w:tcPr>
          <w:p w:rsidR="002D3B9C" w:rsidRPr="008C2F68" w:rsidRDefault="002D3B9C" w:rsidP="00550FBF">
            <w:pPr>
              <w:pStyle w:val="BodyText"/>
              <w:rPr>
                <w:bCs/>
                <w:szCs w:val="22"/>
              </w:rPr>
            </w:pPr>
          </w:p>
        </w:tc>
        <w:tc>
          <w:tcPr>
            <w:tcW w:w="2072" w:type="dxa"/>
            <w:tcBorders>
              <w:top w:val="single" w:sz="4" w:space="0" w:color="auto"/>
            </w:tcBorders>
            <w:shd w:val="clear" w:color="auto" w:fill="auto"/>
          </w:tcPr>
          <w:p w:rsidR="002D3B9C" w:rsidRPr="008C2F68" w:rsidRDefault="002D3B9C" w:rsidP="00550FBF">
            <w:pPr>
              <w:pStyle w:val="BodyText"/>
              <w:jc w:val="right"/>
              <w:rPr>
                <w:bCs/>
                <w:szCs w:val="22"/>
              </w:rPr>
            </w:pPr>
          </w:p>
        </w:tc>
        <w:tc>
          <w:tcPr>
            <w:tcW w:w="2072" w:type="dxa"/>
            <w:tcBorders>
              <w:top w:val="single" w:sz="4" w:space="0" w:color="auto"/>
            </w:tcBorders>
            <w:shd w:val="clear" w:color="auto" w:fill="auto"/>
          </w:tcPr>
          <w:p w:rsidR="002D3B9C" w:rsidRPr="008C2F68" w:rsidRDefault="002D3B9C" w:rsidP="00EA2834">
            <w:pPr>
              <w:pStyle w:val="BodyText"/>
              <w:jc w:val="right"/>
              <w:rPr>
                <w:bCs/>
                <w:szCs w:val="22"/>
              </w:rPr>
            </w:pPr>
          </w:p>
        </w:tc>
      </w:tr>
      <w:tr w:rsidR="002D3B9C" w:rsidRPr="008C2F68" w:rsidTr="001A1241">
        <w:tc>
          <w:tcPr>
            <w:tcW w:w="5310" w:type="dxa"/>
            <w:shd w:val="clear" w:color="auto" w:fill="auto"/>
          </w:tcPr>
          <w:p w:rsidR="002D3B9C" w:rsidRPr="008C2F68" w:rsidRDefault="002D3B9C" w:rsidP="00D828E1">
            <w:pPr>
              <w:pStyle w:val="BodyText"/>
              <w:rPr>
                <w:bCs/>
                <w:szCs w:val="22"/>
              </w:rPr>
            </w:pPr>
            <w:r w:rsidRPr="008C2F68">
              <w:rPr>
                <w:bCs/>
                <w:szCs w:val="22"/>
              </w:rPr>
              <w:t xml:space="preserve">Total Group retained profits </w:t>
            </w:r>
          </w:p>
        </w:tc>
        <w:tc>
          <w:tcPr>
            <w:tcW w:w="2072" w:type="dxa"/>
            <w:tcBorders>
              <w:bottom w:val="double" w:sz="4" w:space="0" w:color="auto"/>
            </w:tcBorders>
            <w:shd w:val="clear" w:color="auto" w:fill="auto"/>
          </w:tcPr>
          <w:p w:rsidR="002D3B9C" w:rsidRPr="008C2F68" w:rsidRDefault="00E46D3D" w:rsidP="00050702">
            <w:pPr>
              <w:pStyle w:val="BodyText"/>
              <w:jc w:val="right"/>
              <w:rPr>
                <w:b/>
                <w:bCs/>
                <w:szCs w:val="22"/>
                <w:lang w:eastAsia="zh-CN"/>
              </w:rPr>
            </w:pPr>
            <w:r w:rsidRPr="008C2F68">
              <w:rPr>
                <w:b/>
                <w:bCs/>
                <w:szCs w:val="22"/>
                <w:lang w:eastAsia="zh-CN"/>
              </w:rPr>
              <w:t>2</w:t>
            </w:r>
            <w:r w:rsidR="009652B6" w:rsidRPr="008C2F68">
              <w:rPr>
                <w:b/>
                <w:bCs/>
                <w:szCs w:val="22"/>
                <w:lang w:eastAsia="zh-CN"/>
              </w:rPr>
              <w:t>9,027</w:t>
            </w:r>
          </w:p>
        </w:tc>
        <w:tc>
          <w:tcPr>
            <w:tcW w:w="2072" w:type="dxa"/>
            <w:tcBorders>
              <w:bottom w:val="double" w:sz="4" w:space="0" w:color="auto"/>
            </w:tcBorders>
            <w:shd w:val="clear" w:color="auto" w:fill="auto"/>
          </w:tcPr>
          <w:p w:rsidR="002D3B9C" w:rsidRPr="008C2F68" w:rsidRDefault="002D3B9C" w:rsidP="00EA2834">
            <w:pPr>
              <w:pStyle w:val="BodyText"/>
              <w:jc w:val="right"/>
              <w:rPr>
                <w:b/>
                <w:bCs/>
                <w:szCs w:val="22"/>
                <w:lang w:eastAsia="zh-CN"/>
              </w:rPr>
            </w:pPr>
            <w:r w:rsidRPr="008C2F68">
              <w:rPr>
                <w:b/>
                <w:bCs/>
                <w:szCs w:val="22"/>
                <w:lang w:eastAsia="zh-CN"/>
              </w:rPr>
              <w:t>2</w:t>
            </w:r>
            <w:r w:rsidR="007267D1" w:rsidRPr="008C2F68">
              <w:rPr>
                <w:b/>
                <w:bCs/>
                <w:szCs w:val="22"/>
                <w:lang w:eastAsia="zh-CN"/>
              </w:rPr>
              <w:t>8,461</w:t>
            </w:r>
          </w:p>
        </w:tc>
      </w:tr>
    </w:tbl>
    <w:p w:rsidR="00910D2A" w:rsidRPr="008C2F68" w:rsidRDefault="00910D2A" w:rsidP="004D219D">
      <w:pPr>
        <w:rPr>
          <w:szCs w:val="22"/>
          <w:lang w:eastAsia="zh-CN"/>
        </w:rPr>
      </w:pPr>
    </w:p>
    <w:p w:rsidR="00541004" w:rsidRPr="008C2F68" w:rsidRDefault="00541004" w:rsidP="00FA54DB">
      <w:pPr>
        <w:pStyle w:val="BodyText"/>
        <w:tabs>
          <w:tab w:val="clear" w:pos="1080"/>
          <w:tab w:val="clear" w:pos="1440"/>
        </w:tabs>
        <w:spacing w:line="233" w:lineRule="auto"/>
        <w:rPr>
          <w:b/>
          <w:szCs w:val="22"/>
        </w:rPr>
      </w:pPr>
      <w:r w:rsidRPr="008C2F68">
        <w:rPr>
          <w:b/>
          <w:szCs w:val="22"/>
        </w:rPr>
        <w:t>2</w:t>
      </w:r>
      <w:r w:rsidR="00E53573" w:rsidRPr="008C2F68">
        <w:rPr>
          <w:b/>
          <w:szCs w:val="22"/>
          <w:lang w:eastAsia="zh-CN"/>
        </w:rPr>
        <w:t>3</w:t>
      </w:r>
      <w:r w:rsidRPr="008C2F68">
        <w:rPr>
          <w:b/>
          <w:szCs w:val="22"/>
        </w:rPr>
        <w:t>.</w:t>
      </w:r>
      <w:r w:rsidRPr="008C2F68">
        <w:rPr>
          <w:b/>
          <w:szCs w:val="22"/>
        </w:rPr>
        <w:tab/>
        <w:t>Material Litigation</w:t>
      </w:r>
    </w:p>
    <w:p w:rsidR="0009167A" w:rsidRPr="008C2F68" w:rsidRDefault="0009167A" w:rsidP="0009167A">
      <w:pPr>
        <w:rPr>
          <w:szCs w:val="22"/>
        </w:rPr>
      </w:pPr>
    </w:p>
    <w:p w:rsidR="006B1F24" w:rsidRPr="008C2F68" w:rsidRDefault="006B1F24" w:rsidP="00190331">
      <w:pPr>
        <w:numPr>
          <w:ilvl w:val="0"/>
          <w:numId w:val="3"/>
        </w:numPr>
        <w:tabs>
          <w:tab w:val="clear" w:pos="1440"/>
          <w:tab w:val="left" w:pos="1080"/>
        </w:tabs>
        <w:jc w:val="both"/>
        <w:rPr>
          <w:szCs w:val="22"/>
          <w:u w:val="single"/>
        </w:rPr>
      </w:pPr>
      <w:r w:rsidRPr="008C2F68">
        <w:rPr>
          <w:szCs w:val="22"/>
          <w:u w:val="single"/>
        </w:rPr>
        <w:t xml:space="preserve">Writ of Summons and Statement of Claim By </w:t>
      </w:r>
      <w:proofErr w:type="spellStart"/>
      <w:r w:rsidRPr="008C2F68">
        <w:rPr>
          <w:szCs w:val="22"/>
          <w:u w:val="single"/>
        </w:rPr>
        <w:t>Hsing</w:t>
      </w:r>
      <w:proofErr w:type="spellEnd"/>
      <w:r w:rsidRPr="008C2F68">
        <w:rPr>
          <w:szCs w:val="22"/>
          <w:u w:val="single"/>
        </w:rPr>
        <w:t xml:space="preserve"> Lung </w:t>
      </w:r>
      <w:proofErr w:type="spellStart"/>
      <w:r w:rsidRPr="008C2F68">
        <w:rPr>
          <w:szCs w:val="22"/>
          <w:u w:val="single"/>
        </w:rPr>
        <w:t>Sdn</w:t>
      </w:r>
      <w:proofErr w:type="spellEnd"/>
      <w:r w:rsidRPr="008C2F68">
        <w:rPr>
          <w:szCs w:val="22"/>
          <w:u w:val="single"/>
        </w:rPr>
        <w:t xml:space="preserve"> </w:t>
      </w:r>
      <w:proofErr w:type="spellStart"/>
      <w:r w:rsidRPr="008C2F68">
        <w:rPr>
          <w:szCs w:val="22"/>
          <w:u w:val="single"/>
        </w:rPr>
        <w:t>Bhd</w:t>
      </w:r>
      <w:proofErr w:type="spellEnd"/>
      <w:r w:rsidRPr="008C2F68">
        <w:rPr>
          <w:szCs w:val="22"/>
          <w:u w:val="single"/>
        </w:rPr>
        <w:t xml:space="preserve"> (“HLSB”), a wholly</w:t>
      </w:r>
      <w:r w:rsidR="00683B2A" w:rsidRPr="008C2F68">
        <w:rPr>
          <w:szCs w:val="22"/>
          <w:u w:val="single"/>
        </w:rPr>
        <w:t>-</w:t>
      </w:r>
      <w:r w:rsidRPr="008C2F68">
        <w:rPr>
          <w:szCs w:val="22"/>
          <w:u w:val="single"/>
        </w:rPr>
        <w:t xml:space="preserve">owned subsidiary of </w:t>
      </w:r>
      <w:proofErr w:type="spellStart"/>
      <w:r w:rsidRPr="008C2F68">
        <w:rPr>
          <w:szCs w:val="22"/>
          <w:u w:val="single"/>
        </w:rPr>
        <w:t>Karyon</w:t>
      </w:r>
      <w:proofErr w:type="spellEnd"/>
      <w:r w:rsidRPr="008C2F68">
        <w:rPr>
          <w:szCs w:val="22"/>
          <w:u w:val="single"/>
        </w:rPr>
        <w:t xml:space="preserve"> Industries </w:t>
      </w:r>
      <w:proofErr w:type="spellStart"/>
      <w:r w:rsidRPr="008C2F68">
        <w:rPr>
          <w:szCs w:val="22"/>
          <w:u w:val="single"/>
        </w:rPr>
        <w:t>B</w:t>
      </w:r>
      <w:r w:rsidR="00412698" w:rsidRPr="008C2F68">
        <w:rPr>
          <w:szCs w:val="22"/>
          <w:u w:val="single"/>
        </w:rPr>
        <w:t>e</w:t>
      </w:r>
      <w:r w:rsidRPr="008C2F68">
        <w:rPr>
          <w:szCs w:val="22"/>
          <w:u w:val="single"/>
        </w:rPr>
        <w:t>rhad</w:t>
      </w:r>
      <w:proofErr w:type="spellEnd"/>
      <w:r w:rsidRPr="008C2F68">
        <w:rPr>
          <w:szCs w:val="22"/>
          <w:u w:val="single"/>
        </w:rPr>
        <w:t xml:space="preserve"> (“KIB”) </w:t>
      </w:r>
      <w:r w:rsidR="0098646B" w:rsidRPr="008C2F68">
        <w:rPr>
          <w:szCs w:val="22"/>
          <w:u w:val="single"/>
        </w:rPr>
        <w:t>a</w:t>
      </w:r>
      <w:r w:rsidRPr="008C2F68">
        <w:rPr>
          <w:szCs w:val="22"/>
          <w:u w:val="single"/>
        </w:rPr>
        <w:t xml:space="preserve">gainst </w:t>
      </w:r>
      <w:proofErr w:type="spellStart"/>
      <w:r w:rsidRPr="008C2F68">
        <w:rPr>
          <w:szCs w:val="22"/>
          <w:u w:val="single"/>
        </w:rPr>
        <w:t>Mahabuilders</w:t>
      </w:r>
      <w:proofErr w:type="spellEnd"/>
      <w:r w:rsidRPr="008C2F68">
        <w:rPr>
          <w:szCs w:val="22"/>
          <w:u w:val="single"/>
        </w:rPr>
        <w:t xml:space="preserve"> </w:t>
      </w:r>
      <w:proofErr w:type="spellStart"/>
      <w:r w:rsidRPr="008C2F68">
        <w:rPr>
          <w:szCs w:val="22"/>
          <w:u w:val="single"/>
        </w:rPr>
        <w:t>Sdn</w:t>
      </w:r>
      <w:proofErr w:type="spellEnd"/>
      <w:r w:rsidRPr="008C2F68">
        <w:rPr>
          <w:szCs w:val="22"/>
          <w:u w:val="single"/>
        </w:rPr>
        <w:t xml:space="preserve"> </w:t>
      </w:r>
      <w:proofErr w:type="spellStart"/>
      <w:r w:rsidRPr="008C2F68">
        <w:rPr>
          <w:szCs w:val="22"/>
          <w:u w:val="single"/>
        </w:rPr>
        <w:t>Bhd</w:t>
      </w:r>
      <w:proofErr w:type="spellEnd"/>
    </w:p>
    <w:p w:rsidR="006B1F24" w:rsidRPr="008C2F68" w:rsidRDefault="006B1F24" w:rsidP="0009167A">
      <w:pPr>
        <w:rPr>
          <w:szCs w:val="22"/>
        </w:rPr>
      </w:pPr>
      <w:r w:rsidRPr="008C2F68">
        <w:rPr>
          <w:szCs w:val="22"/>
        </w:rPr>
        <w:tab/>
      </w:r>
    </w:p>
    <w:p w:rsidR="0009167A" w:rsidRPr="008C2F68" w:rsidRDefault="00F77C5C" w:rsidP="00D77276">
      <w:pPr>
        <w:pStyle w:val="BodyText"/>
        <w:tabs>
          <w:tab w:val="clear" w:pos="720"/>
          <w:tab w:val="clear" w:pos="1440"/>
        </w:tabs>
        <w:spacing w:line="233" w:lineRule="auto"/>
        <w:ind w:left="1080"/>
        <w:rPr>
          <w:szCs w:val="22"/>
        </w:rPr>
      </w:pPr>
      <w:r w:rsidRPr="008C2F68">
        <w:rPr>
          <w:szCs w:val="22"/>
        </w:rPr>
        <w:t>HLSB</w:t>
      </w:r>
      <w:r w:rsidR="0009167A" w:rsidRPr="008C2F68">
        <w:rPr>
          <w:szCs w:val="22"/>
        </w:rPr>
        <w:t>, a wholly</w:t>
      </w:r>
      <w:r w:rsidR="00683B2A" w:rsidRPr="008C2F68">
        <w:rPr>
          <w:szCs w:val="22"/>
        </w:rPr>
        <w:t>-</w:t>
      </w:r>
      <w:r w:rsidR="0009167A" w:rsidRPr="008C2F68">
        <w:rPr>
          <w:szCs w:val="22"/>
        </w:rPr>
        <w:t xml:space="preserve">owned subsidiary of KIB, had on 6 June 2008 through its solicitors served the sealed Writ of Summons and Statement of Claim on </w:t>
      </w:r>
      <w:proofErr w:type="spellStart"/>
      <w:r w:rsidR="0009167A" w:rsidRPr="008C2F68">
        <w:rPr>
          <w:szCs w:val="22"/>
        </w:rPr>
        <w:t>Mahabuilders</w:t>
      </w:r>
      <w:proofErr w:type="spellEnd"/>
      <w:r w:rsidR="0009167A" w:rsidRPr="008C2F68">
        <w:rPr>
          <w:szCs w:val="22"/>
        </w:rPr>
        <w:t xml:space="preserve"> </w:t>
      </w:r>
      <w:proofErr w:type="spellStart"/>
      <w:r w:rsidR="0009167A" w:rsidRPr="008C2F68">
        <w:rPr>
          <w:szCs w:val="22"/>
        </w:rPr>
        <w:t>Sdn</w:t>
      </w:r>
      <w:proofErr w:type="spellEnd"/>
      <w:r w:rsidR="0009167A" w:rsidRPr="008C2F68">
        <w:rPr>
          <w:szCs w:val="22"/>
        </w:rPr>
        <w:t xml:space="preserve"> </w:t>
      </w:r>
      <w:proofErr w:type="spellStart"/>
      <w:r w:rsidR="0009167A" w:rsidRPr="008C2F68">
        <w:rPr>
          <w:szCs w:val="22"/>
        </w:rPr>
        <w:t>Bhd</w:t>
      </w:r>
      <w:proofErr w:type="spellEnd"/>
      <w:r w:rsidR="0009167A" w:rsidRPr="008C2F68">
        <w:rPr>
          <w:szCs w:val="22"/>
        </w:rPr>
        <w:t xml:space="preserve"> for loss and damage in tort and contract in connection with the acquisition of a piece of land held under HS(D) 212275 PTD 111374 in the </w:t>
      </w:r>
      <w:proofErr w:type="spellStart"/>
      <w:r w:rsidR="0009167A" w:rsidRPr="008C2F68">
        <w:rPr>
          <w:szCs w:val="22"/>
        </w:rPr>
        <w:t>Mukim</w:t>
      </w:r>
      <w:proofErr w:type="spellEnd"/>
      <w:r w:rsidR="0009167A" w:rsidRPr="008C2F68">
        <w:rPr>
          <w:szCs w:val="22"/>
        </w:rPr>
        <w:t xml:space="preserve"> of </w:t>
      </w:r>
      <w:proofErr w:type="spellStart"/>
      <w:r w:rsidR="0009167A" w:rsidRPr="008C2F68">
        <w:rPr>
          <w:szCs w:val="22"/>
        </w:rPr>
        <w:t>Plentong</w:t>
      </w:r>
      <w:proofErr w:type="spellEnd"/>
      <w:r w:rsidR="0009167A" w:rsidRPr="008C2F68">
        <w:rPr>
          <w:szCs w:val="22"/>
        </w:rPr>
        <w:t xml:space="preserve">, District of Johor </w:t>
      </w:r>
      <w:proofErr w:type="spellStart"/>
      <w:r w:rsidR="0009167A" w:rsidRPr="008C2F68">
        <w:rPr>
          <w:szCs w:val="22"/>
        </w:rPr>
        <w:t>Bahru</w:t>
      </w:r>
      <w:proofErr w:type="spellEnd"/>
      <w:r w:rsidR="0009167A" w:rsidRPr="008C2F68">
        <w:rPr>
          <w:szCs w:val="22"/>
        </w:rPr>
        <w:t xml:space="preserve">, Johor </w:t>
      </w:r>
      <w:proofErr w:type="spellStart"/>
      <w:r w:rsidR="0009167A" w:rsidRPr="008C2F68">
        <w:rPr>
          <w:szCs w:val="22"/>
        </w:rPr>
        <w:t>Darul</w:t>
      </w:r>
      <w:proofErr w:type="spellEnd"/>
      <w:r w:rsidR="0009167A" w:rsidRPr="008C2F68">
        <w:rPr>
          <w:szCs w:val="22"/>
        </w:rPr>
        <w:t xml:space="preserve"> </w:t>
      </w:r>
      <w:proofErr w:type="spellStart"/>
      <w:r w:rsidR="0009167A" w:rsidRPr="008C2F68">
        <w:rPr>
          <w:szCs w:val="22"/>
        </w:rPr>
        <w:t>Takzim</w:t>
      </w:r>
      <w:proofErr w:type="spellEnd"/>
      <w:r w:rsidR="0009167A" w:rsidRPr="008C2F68">
        <w:rPr>
          <w:szCs w:val="22"/>
        </w:rPr>
        <w:t>.</w:t>
      </w:r>
    </w:p>
    <w:p w:rsidR="0009167A" w:rsidRPr="008C2F68" w:rsidRDefault="0009167A" w:rsidP="00D77276">
      <w:pPr>
        <w:pStyle w:val="BodyText"/>
        <w:tabs>
          <w:tab w:val="clear" w:pos="720"/>
          <w:tab w:val="clear" w:pos="1440"/>
        </w:tabs>
        <w:spacing w:line="233" w:lineRule="auto"/>
        <w:ind w:left="1080"/>
        <w:rPr>
          <w:szCs w:val="22"/>
        </w:rPr>
      </w:pPr>
    </w:p>
    <w:p w:rsidR="0009167A" w:rsidRPr="008C2F68" w:rsidRDefault="0009167A" w:rsidP="00D77276">
      <w:pPr>
        <w:pStyle w:val="BodyText"/>
        <w:tabs>
          <w:tab w:val="clear" w:pos="720"/>
          <w:tab w:val="clear" w:pos="1440"/>
        </w:tabs>
        <w:spacing w:line="233" w:lineRule="auto"/>
        <w:ind w:left="1080"/>
        <w:rPr>
          <w:szCs w:val="22"/>
        </w:rPr>
      </w:pPr>
      <w:r w:rsidRPr="008C2F68">
        <w:rPr>
          <w:szCs w:val="22"/>
        </w:rPr>
        <w:t xml:space="preserve">The Writ of Summons and Statement of Claim (No.22-329-2008(4)) was filed with and a sealed copy thereof extracted from the Johor </w:t>
      </w:r>
      <w:proofErr w:type="spellStart"/>
      <w:r w:rsidRPr="008C2F68">
        <w:rPr>
          <w:szCs w:val="22"/>
        </w:rPr>
        <w:t>Bahru</w:t>
      </w:r>
      <w:proofErr w:type="spellEnd"/>
      <w:r w:rsidRPr="008C2F68">
        <w:rPr>
          <w:szCs w:val="22"/>
        </w:rPr>
        <w:t xml:space="preserve"> High Court on 13 May 2008 and 28 May 2008 respectively.</w:t>
      </w:r>
    </w:p>
    <w:p w:rsidR="00B3770A" w:rsidRPr="008C2F68" w:rsidRDefault="00B3770A" w:rsidP="00D77276">
      <w:pPr>
        <w:tabs>
          <w:tab w:val="left" w:pos="1080"/>
        </w:tabs>
        <w:spacing w:line="233" w:lineRule="auto"/>
        <w:ind w:left="1080"/>
        <w:jc w:val="both"/>
        <w:rPr>
          <w:szCs w:val="22"/>
          <w:lang w:eastAsia="zh-CN"/>
        </w:rPr>
      </w:pPr>
    </w:p>
    <w:p w:rsidR="007F1C4E" w:rsidRPr="008C2F68" w:rsidRDefault="00B3770A" w:rsidP="007F1C4E">
      <w:pPr>
        <w:tabs>
          <w:tab w:val="left" w:pos="1080"/>
        </w:tabs>
        <w:spacing w:line="233" w:lineRule="auto"/>
        <w:ind w:left="1080"/>
        <w:jc w:val="both"/>
        <w:rPr>
          <w:szCs w:val="22"/>
          <w:lang w:eastAsia="zh-CN"/>
        </w:rPr>
      </w:pPr>
      <w:r w:rsidRPr="008C2F68">
        <w:rPr>
          <w:szCs w:val="22"/>
        </w:rPr>
        <w:t>The Court ha</w:t>
      </w:r>
      <w:r w:rsidR="001413E7" w:rsidRPr="008C2F68">
        <w:rPr>
          <w:szCs w:val="22"/>
        </w:rPr>
        <w:t>d</w:t>
      </w:r>
      <w:r w:rsidRPr="008C2F68">
        <w:rPr>
          <w:szCs w:val="22"/>
        </w:rPr>
        <w:t xml:space="preserve"> dismissed </w:t>
      </w:r>
      <w:r w:rsidRPr="008C2F68">
        <w:rPr>
          <w:rFonts w:hint="eastAsia"/>
          <w:szCs w:val="22"/>
          <w:lang w:eastAsia="zh-CN"/>
        </w:rPr>
        <w:t>HLSB</w:t>
      </w:r>
      <w:r w:rsidRPr="008C2F68">
        <w:rPr>
          <w:szCs w:val="22"/>
        </w:rPr>
        <w:t xml:space="preserve"> claim against </w:t>
      </w:r>
      <w:proofErr w:type="spellStart"/>
      <w:r w:rsidRPr="008C2F68">
        <w:rPr>
          <w:szCs w:val="22"/>
        </w:rPr>
        <w:t>Mahabuilders</w:t>
      </w:r>
      <w:proofErr w:type="spellEnd"/>
      <w:r w:rsidRPr="008C2F68">
        <w:rPr>
          <w:szCs w:val="22"/>
        </w:rPr>
        <w:t xml:space="preserve"> </w:t>
      </w:r>
      <w:proofErr w:type="spellStart"/>
      <w:r w:rsidRPr="008C2F68">
        <w:rPr>
          <w:szCs w:val="22"/>
        </w:rPr>
        <w:t>Sdn</w:t>
      </w:r>
      <w:proofErr w:type="spellEnd"/>
      <w:r w:rsidRPr="008C2F68">
        <w:rPr>
          <w:szCs w:val="22"/>
        </w:rPr>
        <w:t xml:space="preserve"> </w:t>
      </w:r>
      <w:proofErr w:type="spellStart"/>
      <w:r w:rsidRPr="008C2F68">
        <w:rPr>
          <w:szCs w:val="22"/>
        </w:rPr>
        <w:t>Bhd</w:t>
      </w:r>
      <w:proofErr w:type="spellEnd"/>
      <w:r w:rsidR="007C5DC2" w:rsidRPr="008C2F68">
        <w:rPr>
          <w:rFonts w:hint="eastAsia"/>
          <w:szCs w:val="22"/>
          <w:lang w:eastAsia="zh-CN"/>
        </w:rPr>
        <w:t xml:space="preserve"> on 16 December 2011</w:t>
      </w:r>
      <w:r w:rsidRPr="008C2F68">
        <w:rPr>
          <w:szCs w:val="22"/>
        </w:rPr>
        <w:t xml:space="preserve">. </w:t>
      </w:r>
      <w:r w:rsidR="007C5DC2" w:rsidRPr="008C2F68">
        <w:rPr>
          <w:rFonts w:hint="eastAsia"/>
          <w:szCs w:val="22"/>
          <w:lang w:eastAsia="zh-CN"/>
        </w:rPr>
        <w:t>Further thereto, a</w:t>
      </w:r>
      <w:r w:rsidR="007C5DC2" w:rsidRPr="008C2F68">
        <w:rPr>
          <w:szCs w:val="22"/>
        </w:rPr>
        <w:t xml:space="preserve"> Notice of Appeal against the decision made by the Court was filed by HLSB’s solicitor to the Court of Appeal on 9 January 2012. </w:t>
      </w:r>
    </w:p>
    <w:p w:rsidR="00343172" w:rsidRPr="008C2F68" w:rsidRDefault="00343172" w:rsidP="007F1C4E">
      <w:pPr>
        <w:tabs>
          <w:tab w:val="left" w:pos="1080"/>
        </w:tabs>
        <w:spacing w:line="233" w:lineRule="auto"/>
        <w:ind w:left="1080"/>
        <w:jc w:val="both"/>
        <w:rPr>
          <w:szCs w:val="22"/>
          <w:lang w:eastAsia="zh-CN"/>
        </w:rPr>
      </w:pPr>
    </w:p>
    <w:p w:rsidR="00343172" w:rsidRPr="008C2F68" w:rsidRDefault="00343172" w:rsidP="007F1C4E">
      <w:pPr>
        <w:tabs>
          <w:tab w:val="left" w:pos="1080"/>
        </w:tabs>
        <w:spacing w:line="233" w:lineRule="auto"/>
        <w:ind w:left="1080"/>
        <w:jc w:val="both"/>
        <w:rPr>
          <w:szCs w:val="22"/>
          <w:lang w:eastAsia="zh-CN"/>
        </w:rPr>
      </w:pPr>
      <w:r w:rsidRPr="008C2F68">
        <w:rPr>
          <w:rFonts w:hint="eastAsia"/>
          <w:szCs w:val="22"/>
          <w:lang w:eastAsia="zh-CN"/>
        </w:rPr>
        <w:t xml:space="preserve">The Court of Appeal, </w:t>
      </w:r>
      <w:proofErr w:type="spellStart"/>
      <w:r w:rsidRPr="008C2F68">
        <w:rPr>
          <w:rFonts w:hint="eastAsia"/>
          <w:szCs w:val="22"/>
          <w:lang w:eastAsia="zh-CN"/>
        </w:rPr>
        <w:t>Putrajaya</w:t>
      </w:r>
      <w:proofErr w:type="spellEnd"/>
      <w:r w:rsidRPr="008C2F68">
        <w:rPr>
          <w:rFonts w:hint="eastAsia"/>
          <w:szCs w:val="22"/>
          <w:lang w:eastAsia="zh-CN"/>
        </w:rPr>
        <w:t xml:space="preserve"> ha</w:t>
      </w:r>
      <w:r w:rsidR="001413E7" w:rsidRPr="008C2F68">
        <w:rPr>
          <w:szCs w:val="22"/>
          <w:lang w:eastAsia="zh-CN"/>
        </w:rPr>
        <w:t>d</w:t>
      </w:r>
      <w:r w:rsidRPr="008C2F68">
        <w:rPr>
          <w:rFonts w:hint="eastAsia"/>
          <w:szCs w:val="22"/>
          <w:lang w:eastAsia="zh-CN"/>
        </w:rPr>
        <w:t xml:space="preserve"> </w:t>
      </w:r>
      <w:r w:rsidR="00D02B85" w:rsidRPr="008C2F68">
        <w:rPr>
          <w:szCs w:val="22"/>
          <w:lang w:eastAsia="zh-CN"/>
        </w:rPr>
        <w:t xml:space="preserve">adjourned </w:t>
      </w:r>
      <w:r w:rsidRPr="008C2F68">
        <w:rPr>
          <w:rFonts w:hint="eastAsia"/>
          <w:szCs w:val="22"/>
          <w:lang w:eastAsia="zh-CN"/>
        </w:rPr>
        <w:t xml:space="preserve">the above matter for case management on </w:t>
      </w:r>
      <w:r w:rsidR="00D02B85" w:rsidRPr="008C2F68">
        <w:rPr>
          <w:szCs w:val="22"/>
          <w:lang w:eastAsia="zh-CN"/>
        </w:rPr>
        <w:t>a date to be fixed later.</w:t>
      </w:r>
    </w:p>
    <w:p w:rsidR="009E7231" w:rsidRPr="008C2F68" w:rsidRDefault="009E7231">
      <w:pPr>
        <w:tabs>
          <w:tab w:val="clear" w:pos="720"/>
          <w:tab w:val="clear" w:pos="1440"/>
        </w:tabs>
        <w:rPr>
          <w:szCs w:val="22"/>
          <w:lang w:eastAsia="zh-CN"/>
        </w:rPr>
      </w:pPr>
    </w:p>
    <w:p w:rsidR="00741C0F" w:rsidRPr="008C2F68" w:rsidRDefault="00741C0F" w:rsidP="006A7FB3">
      <w:pPr>
        <w:pStyle w:val="BodyText"/>
        <w:tabs>
          <w:tab w:val="clear" w:pos="720"/>
          <w:tab w:val="clear" w:pos="1440"/>
        </w:tabs>
        <w:spacing w:line="233" w:lineRule="auto"/>
        <w:ind w:left="1080"/>
        <w:rPr>
          <w:szCs w:val="22"/>
          <w:lang w:eastAsia="zh-CN"/>
        </w:rPr>
      </w:pPr>
    </w:p>
    <w:p w:rsidR="00C32491" w:rsidRPr="008C2F68" w:rsidRDefault="00C32491" w:rsidP="007F7D22">
      <w:pPr>
        <w:pStyle w:val="ListParagraph"/>
        <w:numPr>
          <w:ilvl w:val="0"/>
          <w:numId w:val="3"/>
        </w:numPr>
        <w:tabs>
          <w:tab w:val="clear" w:pos="1440"/>
          <w:tab w:val="left" w:pos="1080"/>
        </w:tabs>
        <w:rPr>
          <w:szCs w:val="22"/>
          <w:u w:val="single"/>
        </w:rPr>
      </w:pPr>
      <w:r w:rsidRPr="008C2F68">
        <w:rPr>
          <w:szCs w:val="22"/>
          <w:u w:val="single"/>
        </w:rPr>
        <w:t xml:space="preserve">Writ of Summons and Statement of Claim By </w:t>
      </w:r>
      <w:proofErr w:type="spellStart"/>
      <w:r w:rsidRPr="008C2F68">
        <w:rPr>
          <w:szCs w:val="22"/>
          <w:u w:val="single"/>
        </w:rPr>
        <w:t>Allbright</w:t>
      </w:r>
      <w:proofErr w:type="spellEnd"/>
      <w:r w:rsidRPr="008C2F68">
        <w:rPr>
          <w:szCs w:val="22"/>
          <w:u w:val="single"/>
        </w:rPr>
        <w:t xml:space="preserve"> Industries (M) </w:t>
      </w:r>
      <w:proofErr w:type="spellStart"/>
      <w:r w:rsidRPr="008C2F68">
        <w:rPr>
          <w:szCs w:val="22"/>
          <w:u w:val="single"/>
        </w:rPr>
        <w:t>Sdn</w:t>
      </w:r>
      <w:proofErr w:type="spellEnd"/>
      <w:r w:rsidRPr="008C2F68">
        <w:rPr>
          <w:szCs w:val="22"/>
          <w:u w:val="single"/>
        </w:rPr>
        <w:t xml:space="preserve"> </w:t>
      </w:r>
      <w:proofErr w:type="spellStart"/>
      <w:r w:rsidRPr="008C2F68">
        <w:rPr>
          <w:szCs w:val="22"/>
          <w:u w:val="single"/>
        </w:rPr>
        <w:t>Bhd</w:t>
      </w:r>
      <w:proofErr w:type="spellEnd"/>
      <w:r w:rsidRPr="008C2F68">
        <w:rPr>
          <w:szCs w:val="22"/>
          <w:u w:val="single"/>
        </w:rPr>
        <w:t xml:space="preserve"> (“AISB”), a wholly-owned subsidiary of </w:t>
      </w:r>
      <w:proofErr w:type="spellStart"/>
      <w:r w:rsidRPr="008C2F68">
        <w:rPr>
          <w:szCs w:val="22"/>
          <w:u w:val="single"/>
        </w:rPr>
        <w:t>Karyon</w:t>
      </w:r>
      <w:proofErr w:type="spellEnd"/>
      <w:r w:rsidRPr="008C2F68">
        <w:rPr>
          <w:szCs w:val="22"/>
          <w:u w:val="single"/>
        </w:rPr>
        <w:t xml:space="preserve"> Industries </w:t>
      </w:r>
      <w:proofErr w:type="spellStart"/>
      <w:r w:rsidRPr="008C2F68">
        <w:rPr>
          <w:szCs w:val="22"/>
          <w:u w:val="single"/>
        </w:rPr>
        <w:t>Berhad</w:t>
      </w:r>
      <w:proofErr w:type="spellEnd"/>
      <w:r w:rsidRPr="008C2F68">
        <w:rPr>
          <w:szCs w:val="22"/>
          <w:u w:val="single"/>
        </w:rPr>
        <w:t xml:space="preserve"> (“KIB”) against </w:t>
      </w:r>
      <w:r w:rsidR="0053031F" w:rsidRPr="008C2F68">
        <w:rPr>
          <w:szCs w:val="22"/>
          <w:u w:val="single"/>
        </w:rPr>
        <w:t xml:space="preserve">Tan Tuan Yang and </w:t>
      </w:r>
      <w:proofErr w:type="spellStart"/>
      <w:r w:rsidR="0053031F" w:rsidRPr="008C2F68">
        <w:rPr>
          <w:szCs w:val="22"/>
          <w:u w:val="single"/>
        </w:rPr>
        <w:t>Hing</w:t>
      </w:r>
      <w:proofErr w:type="spellEnd"/>
      <w:r w:rsidR="0053031F" w:rsidRPr="008C2F68">
        <w:rPr>
          <w:szCs w:val="22"/>
          <w:u w:val="single"/>
        </w:rPr>
        <w:t xml:space="preserve"> </w:t>
      </w:r>
      <w:proofErr w:type="spellStart"/>
      <w:r w:rsidR="0053031F" w:rsidRPr="008C2F68">
        <w:rPr>
          <w:szCs w:val="22"/>
          <w:u w:val="single"/>
        </w:rPr>
        <w:t>Siew</w:t>
      </w:r>
      <w:proofErr w:type="spellEnd"/>
      <w:r w:rsidR="0053031F" w:rsidRPr="008C2F68">
        <w:rPr>
          <w:szCs w:val="22"/>
          <w:u w:val="single"/>
        </w:rPr>
        <w:t xml:space="preserve"> Chan T/A </w:t>
      </w:r>
      <w:r w:rsidRPr="008C2F68">
        <w:rPr>
          <w:szCs w:val="22"/>
          <w:u w:val="single"/>
        </w:rPr>
        <w:t>JTTY Enterprise</w:t>
      </w:r>
      <w:r w:rsidR="0053031F" w:rsidRPr="008C2F68">
        <w:rPr>
          <w:szCs w:val="22"/>
          <w:u w:val="single"/>
        </w:rPr>
        <w:t xml:space="preserve"> (“Defendants”)</w:t>
      </w:r>
    </w:p>
    <w:p w:rsidR="000D660A" w:rsidRPr="008C2F68" w:rsidRDefault="000D660A" w:rsidP="007F7D22">
      <w:pPr>
        <w:pStyle w:val="ListParagraph"/>
        <w:spacing w:line="233" w:lineRule="auto"/>
        <w:ind w:left="1080"/>
        <w:jc w:val="both"/>
        <w:rPr>
          <w:szCs w:val="22"/>
        </w:rPr>
      </w:pPr>
    </w:p>
    <w:p w:rsidR="00C32491" w:rsidRPr="008C2F68" w:rsidRDefault="00C32491" w:rsidP="007F7D22">
      <w:pPr>
        <w:pStyle w:val="ListParagraph"/>
        <w:ind w:left="1080"/>
        <w:jc w:val="both"/>
        <w:rPr>
          <w:spacing w:val="-3"/>
          <w:szCs w:val="22"/>
        </w:rPr>
      </w:pPr>
      <w:r w:rsidRPr="008C2F68">
        <w:rPr>
          <w:spacing w:val="-3"/>
          <w:szCs w:val="22"/>
        </w:rPr>
        <w:t xml:space="preserve">AISB, had on 11 May 2013 through its solicitors served the sealed Writ of Summons and Statement of Claim on </w:t>
      </w:r>
      <w:r w:rsidR="00C74E57" w:rsidRPr="008C2F68">
        <w:rPr>
          <w:spacing w:val="-3"/>
          <w:szCs w:val="22"/>
        </w:rPr>
        <w:t xml:space="preserve">the </w:t>
      </w:r>
      <w:r w:rsidRPr="008C2F68">
        <w:rPr>
          <w:spacing w:val="-3"/>
          <w:szCs w:val="22"/>
        </w:rPr>
        <w:t>Defendant</w:t>
      </w:r>
      <w:r w:rsidR="0053031F" w:rsidRPr="008C2F68">
        <w:rPr>
          <w:spacing w:val="-3"/>
          <w:szCs w:val="22"/>
        </w:rPr>
        <w:t>s</w:t>
      </w:r>
      <w:r w:rsidRPr="008C2F68">
        <w:rPr>
          <w:spacing w:val="-3"/>
          <w:szCs w:val="22"/>
        </w:rPr>
        <w:t xml:space="preserve"> for a claim of RM53,000.00 together with interest and cost being monies due and owing by JTTY </w:t>
      </w:r>
      <w:r w:rsidR="0053031F" w:rsidRPr="008C2F68">
        <w:rPr>
          <w:spacing w:val="-3"/>
          <w:szCs w:val="22"/>
        </w:rPr>
        <w:t xml:space="preserve">Enterprise </w:t>
      </w:r>
      <w:r w:rsidRPr="008C2F68">
        <w:rPr>
          <w:spacing w:val="-3"/>
          <w:szCs w:val="22"/>
        </w:rPr>
        <w:t>to AISB for goods supplied and delivered, which was outstanding since July 2012.</w:t>
      </w:r>
    </w:p>
    <w:p w:rsidR="00C32491" w:rsidRPr="008C2F68" w:rsidRDefault="00C32491" w:rsidP="007F7D22">
      <w:pPr>
        <w:pStyle w:val="ListParagraph"/>
        <w:ind w:left="1080"/>
        <w:jc w:val="both"/>
        <w:rPr>
          <w:spacing w:val="-3"/>
          <w:szCs w:val="22"/>
        </w:rPr>
      </w:pPr>
    </w:p>
    <w:p w:rsidR="00C32491" w:rsidRPr="008C2F68" w:rsidRDefault="00C32491" w:rsidP="007F7D22">
      <w:pPr>
        <w:pStyle w:val="ListParagraph"/>
        <w:ind w:left="1080"/>
        <w:jc w:val="both"/>
        <w:rPr>
          <w:spacing w:val="-3"/>
          <w:szCs w:val="22"/>
        </w:rPr>
      </w:pPr>
      <w:r w:rsidRPr="008C2F68">
        <w:rPr>
          <w:spacing w:val="-3"/>
          <w:szCs w:val="22"/>
        </w:rPr>
        <w:t>The claim was instituted as the Defendant</w:t>
      </w:r>
      <w:r w:rsidR="0053031F" w:rsidRPr="008C2F68">
        <w:rPr>
          <w:spacing w:val="-3"/>
          <w:szCs w:val="22"/>
        </w:rPr>
        <w:t>s</w:t>
      </w:r>
      <w:r w:rsidRPr="008C2F68">
        <w:rPr>
          <w:spacing w:val="-3"/>
          <w:szCs w:val="22"/>
        </w:rPr>
        <w:t xml:space="preserve"> had failed to settle the said amount after a letter of demand was issued to the Defendant</w:t>
      </w:r>
      <w:r w:rsidR="0053031F" w:rsidRPr="008C2F68">
        <w:rPr>
          <w:spacing w:val="-3"/>
          <w:szCs w:val="22"/>
        </w:rPr>
        <w:t>s</w:t>
      </w:r>
      <w:r w:rsidRPr="008C2F68">
        <w:rPr>
          <w:spacing w:val="-3"/>
          <w:szCs w:val="22"/>
        </w:rPr>
        <w:t xml:space="preserve"> on 25 January 2013. Thereafter, the Writ of Summons and Statement of Claim was filed with and a sealed copy thereof extracted from the Johor </w:t>
      </w:r>
      <w:proofErr w:type="spellStart"/>
      <w:r w:rsidRPr="008C2F68">
        <w:rPr>
          <w:spacing w:val="-3"/>
          <w:szCs w:val="22"/>
        </w:rPr>
        <w:t>Bahru</w:t>
      </w:r>
      <w:proofErr w:type="spellEnd"/>
      <w:r w:rsidRPr="008C2F68">
        <w:rPr>
          <w:spacing w:val="-3"/>
          <w:szCs w:val="22"/>
        </w:rPr>
        <w:t xml:space="preserve"> Magistrate’s Court on 3 April 2013 for the recovery of the said amount.</w:t>
      </w:r>
    </w:p>
    <w:p w:rsidR="00A11C0D" w:rsidRPr="008C2F68" w:rsidRDefault="00A11C0D" w:rsidP="004269F2"/>
    <w:p w:rsidR="00743425" w:rsidRPr="008C2F68" w:rsidRDefault="00743425" w:rsidP="007F7D22">
      <w:pPr>
        <w:pStyle w:val="ListParagraph"/>
        <w:ind w:left="1080"/>
        <w:jc w:val="both"/>
        <w:rPr>
          <w:spacing w:val="-3"/>
          <w:szCs w:val="22"/>
        </w:rPr>
      </w:pPr>
      <w:r w:rsidRPr="008C2F68">
        <w:rPr>
          <w:spacing w:val="-3"/>
          <w:szCs w:val="22"/>
        </w:rPr>
        <w:t xml:space="preserve">AISB had further filed the Bankruptcy Notice on 29 July 2013 and a sealed copy thereof was extracted from the Johor </w:t>
      </w:r>
      <w:proofErr w:type="spellStart"/>
      <w:r w:rsidRPr="008C2F68">
        <w:rPr>
          <w:spacing w:val="-3"/>
          <w:szCs w:val="22"/>
        </w:rPr>
        <w:t>Bahru</w:t>
      </w:r>
      <w:proofErr w:type="spellEnd"/>
      <w:r w:rsidRPr="008C2F68">
        <w:rPr>
          <w:spacing w:val="-3"/>
          <w:szCs w:val="22"/>
        </w:rPr>
        <w:t xml:space="preserve"> High Court on 31 July 2013. </w:t>
      </w:r>
      <w:r w:rsidR="00E54DFD" w:rsidRPr="008C2F68">
        <w:rPr>
          <w:spacing w:val="-3"/>
          <w:szCs w:val="22"/>
        </w:rPr>
        <w:t xml:space="preserve">The Bankruptcy Notice </w:t>
      </w:r>
      <w:r w:rsidR="00E6364A" w:rsidRPr="008C2F68">
        <w:rPr>
          <w:spacing w:val="-3"/>
          <w:szCs w:val="22"/>
        </w:rPr>
        <w:t xml:space="preserve">had been served on the Defendants on 19 August 2013 and the </w:t>
      </w:r>
      <w:r w:rsidR="00E341EB" w:rsidRPr="008C2F68">
        <w:rPr>
          <w:spacing w:val="-3"/>
          <w:szCs w:val="22"/>
        </w:rPr>
        <w:t>C</w:t>
      </w:r>
      <w:r w:rsidR="00E6364A" w:rsidRPr="008C2F68">
        <w:rPr>
          <w:spacing w:val="-3"/>
          <w:szCs w:val="22"/>
        </w:rPr>
        <w:t xml:space="preserve">reditor </w:t>
      </w:r>
      <w:r w:rsidR="00E341EB" w:rsidRPr="008C2F68">
        <w:rPr>
          <w:spacing w:val="-3"/>
          <w:szCs w:val="22"/>
        </w:rPr>
        <w:t>P</w:t>
      </w:r>
      <w:r w:rsidR="00E6364A" w:rsidRPr="008C2F68">
        <w:rPr>
          <w:spacing w:val="-3"/>
          <w:szCs w:val="22"/>
        </w:rPr>
        <w:t xml:space="preserve">etition </w:t>
      </w:r>
      <w:r w:rsidR="00E341EB" w:rsidRPr="008C2F68">
        <w:rPr>
          <w:spacing w:val="-3"/>
          <w:szCs w:val="22"/>
        </w:rPr>
        <w:t xml:space="preserve"> has been filed on 26 September 2013, a sealed copy thereof was extracted from the court on 2 October 2013. The hearing date of the Creditor Petition has been fixed on 9 January 2014.</w:t>
      </w:r>
    </w:p>
    <w:p w:rsidR="000D660A" w:rsidRPr="008C2F68" w:rsidRDefault="000D660A" w:rsidP="00E36449">
      <w:pPr>
        <w:spacing w:line="233" w:lineRule="auto"/>
        <w:ind w:left="720" w:hanging="720"/>
        <w:jc w:val="both"/>
        <w:rPr>
          <w:b/>
          <w:szCs w:val="22"/>
        </w:rPr>
      </w:pPr>
    </w:p>
    <w:p w:rsidR="00651DA0" w:rsidRPr="008C2F68" w:rsidRDefault="00651DA0" w:rsidP="00E36449">
      <w:pPr>
        <w:spacing w:line="233" w:lineRule="auto"/>
        <w:ind w:left="720" w:hanging="720"/>
        <w:jc w:val="both"/>
        <w:rPr>
          <w:b/>
          <w:szCs w:val="22"/>
        </w:rPr>
      </w:pPr>
    </w:p>
    <w:p w:rsidR="00A154BF" w:rsidRPr="008C2F68"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t>Dividend</w:t>
      </w:r>
      <w:r w:rsidR="008A2772" w:rsidRPr="008C2F68">
        <w:rPr>
          <w:b/>
          <w:szCs w:val="22"/>
        </w:rPr>
        <w:t xml:space="preserve"> </w:t>
      </w:r>
      <w:r w:rsidR="002D5D2B" w:rsidRPr="008C2F68">
        <w:rPr>
          <w:b/>
          <w:szCs w:val="22"/>
        </w:rPr>
        <w:t>Payable</w:t>
      </w:r>
    </w:p>
    <w:p w:rsidR="007E2BDF" w:rsidRPr="008C2F68" w:rsidRDefault="007E2BDF" w:rsidP="007E2BDF">
      <w:pPr>
        <w:ind w:left="700"/>
        <w:jc w:val="both"/>
        <w:rPr>
          <w:szCs w:val="22"/>
          <w:lang w:eastAsia="zh-CN"/>
        </w:rPr>
      </w:pPr>
    </w:p>
    <w:p w:rsidR="00B61FCB" w:rsidRPr="008C2F68" w:rsidRDefault="009652B6" w:rsidP="004958C3">
      <w:pPr>
        <w:ind w:left="700"/>
        <w:jc w:val="both"/>
        <w:rPr>
          <w:color w:val="000000"/>
          <w:szCs w:val="22"/>
          <w:lang w:eastAsia="zh-CN"/>
        </w:rPr>
      </w:pPr>
      <w:r w:rsidRPr="008C2F68">
        <w:rPr>
          <w:color w:val="000000"/>
          <w:szCs w:val="22"/>
          <w:lang w:eastAsia="zh-CN"/>
        </w:rPr>
        <w:t xml:space="preserve">An interim </w:t>
      </w:r>
      <w:r w:rsidR="00640DD4" w:rsidRPr="008C2F68">
        <w:rPr>
          <w:color w:val="000000"/>
          <w:szCs w:val="22"/>
          <w:lang w:eastAsia="zh-CN"/>
        </w:rPr>
        <w:t>tax exempt</w:t>
      </w:r>
      <w:r w:rsidRPr="008C2F68">
        <w:rPr>
          <w:color w:val="000000"/>
          <w:szCs w:val="22"/>
          <w:lang w:eastAsia="zh-CN"/>
        </w:rPr>
        <w:t xml:space="preserve"> dividend of 5.0% or RM0.005 per ordinary share of RM0.10 each in respect of the financial year ending 31 December 2013 was declared on </w:t>
      </w:r>
      <w:r w:rsidRPr="008C2F68">
        <w:rPr>
          <w:szCs w:val="22"/>
        </w:rPr>
        <w:t>30 September 2013 and paid on 28</w:t>
      </w:r>
      <w:r w:rsidRPr="008C2F68">
        <w:rPr>
          <w:szCs w:val="22"/>
          <w:lang w:eastAsia="zh-CN"/>
        </w:rPr>
        <w:t xml:space="preserve"> October</w:t>
      </w:r>
      <w:r w:rsidRPr="008C2F68">
        <w:rPr>
          <w:rFonts w:hint="eastAsia"/>
          <w:szCs w:val="22"/>
          <w:lang w:eastAsia="zh-CN"/>
        </w:rPr>
        <w:t xml:space="preserve"> 201</w:t>
      </w:r>
      <w:r w:rsidRPr="008C2F68">
        <w:rPr>
          <w:szCs w:val="22"/>
          <w:lang w:eastAsia="zh-CN"/>
        </w:rPr>
        <w:t>3.</w:t>
      </w:r>
    </w:p>
    <w:p w:rsidR="00B61FCB" w:rsidRPr="008C2F68" w:rsidRDefault="00B61FCB" w:rsidP="004958C3">
      <w:pPr>
        <w:ind w:left="700"/>
        <w:jc w:val="both"/>
        <w:rPr>
          <w:color w:val="000000"/>
          <w:szCs w:val="22"/>
          <w:lang w:eastAsia="zh-CN"/>
        </w:rPr>
      </w:pPr>
    </w:p>
    <w:p w:rsidR="00633442" w:rsidRPr="008C2F68" w:rsidRDefault="004958C3" w:rsidP="00190331">
      <w:pPr>
        <w:ind w:left="700"/>
        <w:jc w:val="both"/>
        <w:rPr>
          <w:color w:val="000000"/>
          <w:szCs w:val="22"/>
          <w:lang w:eastAsia="zh-CN"/>
        </w:rPr>
      </w:pPr>
      <w:r w:rsidRPr="008C2F68">
        <w:rPr>
          <w:rFonts w:hint="eastAsia"/>
          <w:color w:val="000000"/>
          <w:szCs w:val="22"/>
          <w:lang w:eastAsia="zh-CN"/>
        </w:rPr>
        <w:t>The total dividend</w:t>
      </w:r>
      <w:r w:rsidRPr="008C2F68">
        <w:rPr>
          <w:color w:val="000000"/>
          <w:szCs w:val="22"/>
          <w:lang w:eastAsia="zh-CN"/>
        </w:rPr>
        <w:t xml:space="preserve"> paid in respect of the financial year ended 31 December 201</w:t>
      </w:r>
      <w:r w:rsidR="0053031F" w:rsidRPr="008C2F68">
        <w:rPr>
          <w:color w:val="000000"/>
          <w:szCs w:val="22"/>
          <w:lang w:eastAsia="zh-CN"/>
        </w:rPr>
        <w:t>2</w:t>
      </w:r>
      <w:r w:rsidRPr="008C2F68">
        <w:rPr>
          <w:color w:val="000000"/>
          <w:szCs w:val="22"/>
          <w:lang w:eastAsia="zh-CN"/>
        </w:rPr>
        <w:t xml:space="preserve"> was </w:t>
      </w:r>
      <w:r w:rsidR="003B26C8" w:rsidRPr="008C2F68">
        <w:rPr>
          <w:color w:val="000000"/>
          <w:szCs w:val="22"/>
          <w:lang w:eastAsia="zh-CN"/>
        </w:rPr>
        <w:t>1</w:t>
      </w:r>
      <w:r w:rsidRPr="008C2F68">
        <w:rPr>
          <w:color w:val="000000"/>
          <w:szCs w:val="22"/>
          <w:lang w:eastAsia="zh-CN"/>
        </w:rPr>
        <w:t>4% or RM</w:t>
      </w:r>
      <w:r w:rsidR="00C17D78" w:rsidRPr="008C2F68">
        <w:rPr>
          <w:color w:val="000000"/>
          <w:szCs w:val="22"/>
          <w:lang w:eastAsia="zh-CN"/>
        </w:rPr>
        <w:t>5</w:t>
      </w:r>
      <w:r w:rsidR="00C74E57" w:rsidRPr="008C2F68">
        <w:rPr>
          <w:color w:val="000000"/>
          <w:szCs w:val="22"/>
          <w:lang w:eastAsia="zh-CN"/>
        </w:rPr>
        <w:t>,</w:t>
      </w:r>
      <w:r w:rsidR="00C17D78" w:rsidRPr="008C2F68">
        <w:rPr>
          <w:color w:val="000000"/>
          <w:szCs w:val="22"/>
          <w:lang w:eastAsia="zh-CN"/>
        </w:rPr>
        <w:t>325</w:t>
      </w:r>
      <w:r w:rsidR="00C74E57" w:rsidRPr="008C2F68">
        <w:rPr>
          <w:color w:val="000000"/>
          <w:szCs w:val="22"/>
          <w:lang w:eastAsia="zh-CN"/>
        </w:rPr>
        <w:t>,</w:t>
      </w:r>
      <w:r w:rsidR="00C17D78" w:rsidRPr="008C2F68">
        <w:rPr>
          <w:color w:val="000000"/>
          <w:szCs w:val="22"/>
          <w:lang w:eastAsia="zh-CN"/>
        </w:rPr>
        <w:t>239</w:t>
      </w:r>
      <w:r w:rsidRPr="008C2F68">
        <w:rPr>
          <w:color w:val="000000"/>
          <w:szCs w:val="22"/>
          <w:lang w:eastAsia="zh-CN"/>
        </w:rPr>
        <w:t>.</w:t>
      </w:r>
    </w:p>
    <w:p w:rsidR="0091457D" w:rsidRPr="008C2F68" w:rsidRDefault="0091457D" w:rsidP="009E5EC7">
      <w:pPr>
        <w:ind w:left="700"/>
        <w:jc w:val="both"/>
        <w:rPr>
          <w:color w:val="000000"/>
          <w:szCs w:val="22"/>
          <w:lang w:eastAsia="zh-CN"/>
        </w:rPr>
      </w:pPr>
    </w:p>
    <w:p w:rsidR="007B1D3B" w:rsidRPr="008C2F68" w:rsidRDefault="002B2AC8" w:rsidP="007B1D3B">
      <w:pPr>
        <w:ind w:left="700" w:hanging="700"/>
        <w:rPr>
          <w:b/>
          <w:szCs w:val="22"/>
          <w:lang w:eastAsia="zh-CN"/>
        </w:rPr>
      </w:pPr>
      <w:r w:rsidRPr="008C2F68">
        <w:rPr>
          <w:rFonts w:hint="eastAsia"/>
          <w:b/>
          <w:szCs w:val="22"/>
          <w:lang w:eastAsia="zh-CN"/>
        </w:rPr>
        <w:t>2</w:t>
      </w:r>
      <w:r w:rsidR="00E53573" w:rsidRPr="008C2F68">
        <w:rPr>
          <w:b/>
          <w:szCs w:val="22"/>
          <w:lang w:eastAsia="zh-CN"/>
        </w:rPr>
        <w:t>5</w:t>
      </w:r>
      <w:r w:rsidR="007B1D3B" w:rsidRPr="008C2F68">
        <w:rPr>
          <w:rFonts w:hint="eastAsia"/>
          <w:b/>
          <w:szCs w:val="22"/>
          <w:lang w:eastAsia="zh-CN"/>
        </w:rPr>
        <w:t>.</w:t>
      </w:r>
      <w:r w:rsidR="007B1D3B" w:rsidRPr="008C2F68">
        <w:rPr>
          <w:rFonts w:hint="eastAsia"/>
          <w:b/>
          <w:szCs w:val="22"/>
          <w:lang w:eastAsia="zh-CN"/>
        </w:rPr>
        <w:tab/>
        <w:t xml:space="preserve">Notes to </w:t>
      </w:r>
      <w:r w:rsidR="008B4D86" w:rsidRPr="008C2F68">
        <w:rPr>
          <w:b/>
          <w:szCs w:val="22"/>
          <w:lang w:eastAsia="zh-CN"/>
        </w:rPr>
        <w:t xml:space="preserve">the </w:t>
      </w:r>
      <w:r w:rsidR="00B01B7E" w:rsidRPr="008C2F68">
        <w:rPr>
          <w:rFonts w:hint="eastAsia"/>
          <w:b/>
          <w:szCs w:val="22"/>
          <w:lang w:eastAsia="zh-CN"/>
        </w:rPr>
        <w:t xml:space="preserve">Condensed Consolidated </w:t>
      </w:r>
      <w:r w:rsidR="007B1D3B" w:rsidRPr="008C2F68">
        <w:rPr>
          <w:rFonts w:hint="eastAsia"/>
          <w:b/>
          <w:szCs w:val="22"/>
          <w:lang w:eastAsia="zh-CN"/>
        </w:rPr>
        <w:t>Statement of Comprehensive Income</w:t>
      </w:r>
    </w:p>
    <w:p w:rsidR="007B1D3B" w:rsidRPr="008C2F68" w:rsidRDefault="007B1D3B" w:rsidP="00454B1A">
      <w:pPr>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charging/(crediting) the following items:</w:t>
      </w:r>
    </w:p>
    <w:p w:rsidR="00B01B7E" w:rsidRPr="008C2F68"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8C2F68" w:rsidTr="00F06AC2">
        <w:tc>
          <w:tcPr>
            <w:tcW w:w="3798" w:type="dxa"/>
            <w:tcBorders>
              <w:top w:val="single" w:sz="4" w:space="0" w:color="auto"/>
              <w:left w:val="single" w:sz="4" w:space="0" w:color="auto"/>
              <w:bottom w:val="nil"/>
              <w:right w:val="single" w:sz="4" w:space="0" w:color="auto"/>
            </w:tcBorders>
          </w:tcPr>
          <w:p w:rsidR="00B01B7E" w:rsidRPr="008C2F68"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8C2F68" w:rsidRDefault="007613BC" w:rsidP="00546150">
            <w:pPr>
              <w:pStyle w:val="BodyText"/>
              <w:tabs>
                <w:tab w:val="clear" w:pos="1080"/>
              </w:tabs>
              <w:spacing w:line="233" w:lineRule="auto"/>
              <w:jc w:val="center"/>
              <w:rPr>
                <w:b/>
                <w:bCs/>
                <w:iCs/>
                <w:szCs w:val="22"/>
              </w:rPr>
            </w:pPr>
            <w:r w:rsidRPr="008C2F68">
              <w:rPr>
                <w:b/>
                <w:bCs/>
                <w:szCs w:val="22"/>
                <w:lang w:eastAsia="zh-CN"/>
              </w:rPr>
              <w:t>3rd</w:t>
            </w:r>
            <w:r w:rsidR="00B01B7E" w:rsidRPr="008C2F68">
              <w:rPr>
                <w:b/>
                <w:bCs/>
                <w:szCs w:val="22"/>
                <w:lang w:eastAsia="zh-CN"/>
              </w:rPr>
              <w:t xml:space="preserve"> </w:t>
            </w:r>
            <w:r w:rsidR="00B01B7E" w:rsidRPr="008C2F68">
              <w:rPr>
                <w:b/>
                <w:bCs/>
                <w:szCs w:val="22"/>
              </w:rPr>
              <w:t>Quarter Ended</w:t>
            </w:r>
          </w:p>
        </w:tc>
        <w:tc>
          <w:tcPr>
            <w:tcW w:w="2970" w:type="dxa"/>
            <w:gridSpan w:val="2"/>
          </w:tcPr>
          <w:p w:rsidR="00B01B7E" w:rsidRPr="008C2F68" w:rsidRDefault="00CA3E58" w:rsidP="00C15F13">
            <w:pPr>
              <w:pStyle w:val="BodyText"/>
              <w:tabs>
                <w:tab w:val="clear" w:pos="1080"/>
              </w:tabs>
              <w:spacing w:line="233" w:lineRule="auto"/>
              <w:jc w:val="center"/>
              <w:rPr>
                <w:b/>
                <w:bCs/>
                <w:iCs/>
                <w:szCs w:val="22"/>
              </w:rPr>
            </w:pPr>
            <w:r w:rsidRPr="008C2F68">
              <w:rPr>
                <w:b/>
                <w:bCs/>
                <w:szCs w:val="22"/>
                <w:lang w:eastAsia="zh-CN"/>
              </w:rPr>
              <w:t>9</w:t>
            </w:r>
            <w:r w:rsidR="00B01B7E" w:rsidRPr="008C2F68">
              <w:rPr>
                <w:b/>
                <w:bCs/>
                <w:szCs w:val="22"/>
                <w:lang w:eastAsia="zh-CN"/>
              </w:rPr>
              <w:t xml:space="preserve"> Months</w:t>
            </w:r>
            <w:r w:rsidR="00B01B7E" w:rsidRPr="008C2F68">
              <w:rPr>
                <w:b/>
                <w:bCs/>
                <w:szCs w:val="22"/>
              </w:rPr>
              <w:t xml:space="preserve"> Ended</w:t>
            </w:r>
          </w:p>
        </w:tc>
      </w:tr>
      <w:tr w:rsidR="00F969C3" w:rsidRPr="008C2F68" w:rsidTr="007512A6">
        <w:tc>
          <w:tcPr>
            <w:tcW w:w="3798" w:type="dxa"/>
            <w:tcBorders>
              <w:top w:val="nil"/>
              <w:left w:val="single" w:sz="4" w:space="0" w:color="auto"/>
              <w:bottom w:val="nil"/>
              <w:right w:val="single" w:sz="4" w:space="0" w:color="auto"/>
            </w:tcBorders>
          </w:tcPr>
          <w:p w:rsidR="00F969C3" w:rsidRPr="008C2F68" w:rsidRDefault="00F969C3" w:rsidP="00C15F13">
            <w:pPr>
              <w:pStyle w:val="BodyText"/>
              <w:tabs>
                <w:tab w:val="clear" w:pos="1080"/>
              </w:tabs>
              <w:spacing w:line="233" w:lineRule="auto"/>
              <w:rPr>
                <w:i/>
                <w:iCs/>
                <w:szCs w:val="22"/>
              </w:rPr>
            </w:pPr>
          </w:p>
        </w:tc>
        <w:tc>
          <w:tcPr>
            <w:tcW w:w="1530" w:type="dxa"/>
            <w:tcBorders>
              <w:left w:val="single" w:sz="4" w:space="0" w:color="auto"/>
            </w:tcBorders>
            <w:shd w:val="clear" w:color="auto" w:fill="auto"/>
          </w:tcPr>
          <w:p w:rsidR="00F969C3" w:rsidRPr="008C2F68" w:rsidRDefault="00546150" w:rsidP="00464CFD">
            <w:pPr>
              <w:pStyle w:val="BodyText"/>
              <w:tabs>
                <w:tab w:val="clear" w:pos="1080"/>
              </w:tabs>
              <w:spacing w:line="233" w:lineRule="auto"/>
              <w:jc w:val="center"/>
              <w:rPr>
                <w:b/>
                <w:bCs/>
                <w:szCs w:val="22"/>
                <w:lang w:eastAsia="zh-CN"/>
              </w:rPr>
            </w:pPr>
            <w:r w:rsidRPr="008C2F68">
              <w:rPr>
                <w:b/>
                <w:bCs/>
                <w:szCs w:val="22"/>
              </w:rPr>
              <w:t>3</w:t>
            </w:r>
            <w:r w:rsidR="00396CF0" w:rsidRPr="008C2F68">
              <w:rPr>
                <w:b/>
                <w:bCs/>
                <w:szCs w:val="22"/>
              </w:rPr>
              <w:t>0</w:t>
            </w:r>
            <w:r w:rsidRPr="008C2F68">
              <w:rPr>
                <w:b/>
                <w:bCs/>
                <w:szCs w:val="22"/>
              </w:rPr>
              <w:t>.0</w:t>
            </w:r>
            <w:r w:rsidR="00464CFD" w:rsidRPr="008C2F68">
              <w:rPr>
                <w:b/>
                <w:bCs/>
                <w:szCs w:val="22"/>
              </w:rPr>
              <w:t>9</w:t>
            </w:r>
            <w:r w:rsidRPr="008C2F68">
              <w:rPr>
                <w:b/>
                <w:bCs/>
                <w:szCs w:val="22"/>
              </w:rPr>
              <w:t>.2013</w:t>
            </w:r>
          </w:p>
        </w:tc>
        <w:tc>
          <w:tcPr>
            <w:tcW w:w="1350" w:type="dxa"/>
            <w:shd w:val="clear" w:color="auto" w:fill="auto"/>
          </w:tcPr>
          <w:p w:rsidR="00F969C3" w:rsidRPr="008C2F68" w:rsidRDefault="00546150" w:rsidP="007D2129">
            <w:pPr>
              <w:pStyle w:val="BodyText"/>
              <w:tabs>
                <w:tab w:val="clear" w:pos="1080"/>
              </w:tabs>
              <w:spacing w:line="233" w:lineRule="auto"/>
              <w:jc w:val="center"/>
              <w:rPr>
                <w:b/>
                <w:bCs/>
                <w:iCs/>
                <w:szCs w:val="22"/>
                <w:lang w:eastAsia="zh-CN"/>
              </w:rPr>
            </w:pPr>
            <w:r w:rsidRPr="008C2F68">
              <w:rPr>
                <w:b/>
                <w:bCs/>
                <w:iCs/>
                <w:szCs w:val="22"/>
                <w:lang w:eastAsia="zh-CN"/>
              </w:rPr>
              <w:t>3</w:t>
            </w:r>
            <w:r w:rsidR="00DC04B4" w:rsidRPr="008C2F68">
              <w:rPr>
                <w:b/>
                <w:bCs/>
                <w:iCs/>
                <w:szCs w:val="22"/>
                <w:lang w:eastAsia="zh-CN"/>
              </w:rPr>
              <w:t>0</w:t>
            </w:r>
            <w:r w:rsidRPr="008C2F68">
              <w:rPr>
                <w:b/>
                <w:bCs/>
                <w:iCs/>
                <w:szCs w:val="22"/>
                <w:lang w:eastAsia="zh-CN"/>
              </w:rPr>
              <w:t>.0</w:t>
            </w:r>
            <w:r w:rsidR="007D2129" w:rsidRPr="008C2F68">
              <w:rPr>
                <w:b/>
                <w:bCs/>
                <w:iCs/>
                <w:szCs w:val="22"/>
                <w:lang w:eastAsia="zh-CN"/>
              </w:rPr>
              <w:t>9</w:t>
            </w:r>
            <w:r w:rsidRPr="008C2F68">
              <w:rPr>
                <w:b/>
                <w:bCs/>
                <w:iCs/>
                <w:szCs w:val="22"/>
                <w:lang w:eastAsia="zh-CN"/>
              </w:rPr>
              <w:t>.2012</w:t>
            </w:r>
          </w:p>
        </w:tc>
        <w:tc>
          <w:tcPr>
            <w:tcW w:w="1440" w:type="dxa"/>
            <w:shd w:val="clear" w:color="auto" w:fill="auto"/>
          </w:tcPr>
          <w:p w:rsidR="00F969C3" w:rsidRPr="008C2F68" w:rsidRDefault="00546150" w:rsidP="007642BE">
            <w:pPr>
              <w:pStyle w:val="BodyText"/>
              <w:tabs>
                <w:tab w:val="clear" w:pos="1080"/>
              </w:tabs>
              <w:spacing w:line="233" w:lineRule="auto"/>
              <w:jc w:val="center"/>
              <w:rPr>
                <w:b/>
                <w:bCs/>
                <w:szCs w:val="22"/>
                <w:lang w:eastAsia="zh-CN"/>
              </w:rPr>
            </w:pPr>
            <w:r w:rsidRPr="008C2F68">
              <w:rPr>
                <w:b/>
                <w:bCs/>
                <w:szCs w:val="22"/>
              </w:rPr>
              <w:t>3</w:t>
            </w:r>
            <w:r w:rsidR="00396CF0" w:rsidRPr="008C2F68">
              <w:rPr>
                <w:b/>
                <w:bCs/>
                <w:szCs w:val="22"/>
              </w:rPr>
              <w:t>0</w:t>
            </w:r>
            <w:r w:rsidRPr="008C2F68">
              <w:rPr>
                <w:b/>
                <w:bCs/>
                <w:szCs w:val="22"/>
              </w:rPr>
              <w:t>.0</w:t>
            </w:r>
            <w:r w:rsidR="007642BE" w:rsidRPr="008C2F68">
              <w:rPr>
                <w:b/>
                <w:bCs/>
                <w:szCs w:val="22"/>
              </w:rPr>
              <w:t>9</w:t>
            </w:r>
            <w:r w:rsidRPr="008C2F68">
              <w:rPr>
                <w:b/>
                <w:bCs/>
                <w:szCs w:val="22"/>
              </w:rPr>
              <w:t>.2013</w:t>
            </w:r>
          </w:p>
        </w:tc>
        <w:tc>
          <w:tcPr>
            <w:tcW w:w="1530" w:type="dxa"/>
            <w:shd w:val="clear" w:color="auto" w:fill="auto"/>
          </w:tcPr>
          <w:p w:rsidR="00F969C3" w:rsidRPr="008C2F68" w:rsidRDefault="00546150" w:rsidP="00CA3E58">
            <w:pPr>
              <w:pStyle w:val="BodyText"/>
              <w:tabs>
                <w:tab w:val="clear" w:pos="1080"/>
              </w:tabs>
              <w:spacing w:line="233" w:lineRule="auto"/>
              <w:jc w:val="center"/>
              <w:rPr>
                <w:b/>
                <w:bCs/>
                <w:iCs/>
                <w:szCs w:val="22"/>
                <w:lang w:eastAsia="zh-CN"/>
              </w:rPr>
            </w:pPr>
            <w:r w:rsidRPr="008C2F68">
              <w:rPr>
                <w:b/>
                <w:bCs/>
                <w:iCs/>
                <w:szCs w:val="22"/>
                <w:lang w:eastAsia="zh-CN"/>
              </w:rPr>
              <w:t>3</w:t>
            </w:r>
            <w:r w:rsidR="00DC04B4" w:rsidRPr="008C2F68">
              <w:rPr>
                <w:b/>
                <w:bCs/>
                <w:iCs/>
                <w:szCs w:val="22"/>
                <w:lang w:eastAsia="zh-CN"/>
              </w:rPr>
              <w:t>0</w:t>
            </w:r>
            <w:r w:rsidRPr="008C2F68">
              <w:rPr>
                <w:b/>
                <w:bCs/>
                <w:iCs/>
                <w:szCs w:val="22"/>
                <w:lang w:eastAsia="zh-CN"/>
              </w:rPr>
              <w:t>.0</w:t>
            </w:r>
            <w:r w:rsidR="00CA3E58" w:rsidRPr="008C2F68">
              <w:rPr>
                <w:b/>
                <w:bCs/>
                <w:iCs/>
                <w:szCs w:val="22"/>
                <w:lang w:eastAsia="zh-CN"/>
              </w:rPr>
              <w:t>9</w:t>
            </w:r>
            <w:r w:rsidRPr="008C2F68">
              <w:rPr>
                <w:b/>
                <w:bCs/>
                <w:iCs/>
                <w:szCs w:val="22"/>
                <w:lang w:eastAsia="zh-CN"/>
              </w:rPr>
              <w:t>.2012</w:t>
            </w:r>
          </w:p>
        </w:tc>
      </w:tr>
      <w:tr w:rsidR="0038570A" w:rsidRPr="008C2F68" w:rsidTr="00D509EA">
        <w:tc>
          <w:tcPr>
            <w:tcW w:w="3798"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530"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350" w:type="dxa"/>
          </w:tcPr>
          <w:p w:rsidR="0038570A" w:rsidRPr="008C2F68" w:rsidRDefault="0038570A" w:rsidP="00C15F13">
            <w:pPr>
              <w:pStyle w:val="BodyText"/>
              <w:tabs>
                <w:tab w:val="clear" w:pos="1080"/>
              </w:tabs>
              <w:spacing w:line="233" w:lineRule="auto"/>
              <w:jc w:val="center"/>
              <w:rPr>
                <w:bCs/>
                <w:i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440" w:type="dxa"/>
          </w:tcPr>
          <w:p w:rsidR="0038570A" w:rsidRPr="008C2F68" w:rsidRDefault="0038570A" w:rsidP="00C15F13">
            <w:pPr>
              <w:pStyle w:val="BodyText"/>
              <w:tabs>
                <w:tab w:val="clear" w:pos="1080"/>
              </w:tabs>
              <w:spacing w:line="233" w:lineRule="auto"/>
              <w:jc w:val="center"/>
              <w:rPr>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530" w:type="dxa"/>
          </w:tcPr>
          <w:p w:rsidR="0038570A" w:rsidRPr="008C2F68" w:rsidRDefault="0038570A" w:rsidP="00C15F13">
            <w:pPr>
              <w:pStyle w:val="BodyText"/>
              <w:tabs>
                <w:tab w:val="clear" w:pos="1080"/>
              </w:tabs>
              <w:spacing w:line="233" w:lineRule="auto"/>
              <w:jc w:val="center"/>
              <w:rPr>
                <w:bCs/>
                <w:i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r>
      <w:tr w:rsidR="004567BB" w:rsidRPr="008C2F68" w:rsidTr="005A5FD6">
        <w:tc>
          <w:tcPr>
            <w:tcW w:w="3798" w:type="dxa"/>
            <w:tcBorders>
              <w:top w:val="single" w:sz="4" w:space="0" w:color="auto"/>
            </w:tcBorders>
          </w:tcPr>
          <w:p w:rsidR="004567BB" w:rsidRPr="008C2F68" w:rsidRDefault="004567BB" w:rsidP="00B10589">
            <w:pPr>
              <w:pStyle w:val="BodyText"/>
              <w:tabs>
                <w:tab w:val="clear" w:pos="1080"/>
              </w:tabs>
              <w:spacing w:line="233" w:lineRule="auto"/>
              <w:ind w:left="180" w:hanging="180"/>
              <w:rPr>
                <w:iCs/>
                <w:szCs w:val="22"/>
                <w:lang w:eastAsia="zh-CN"/>
              </w:rPr>
            </w:pPr>
            <w:proofErr w:type="spellStart"/>
            <w:r w:rsidRPr="008C2F68">
              <w:rPr>
                <w:rFonts w:hint="eastAsia"/>
                <w:iCs/>
                <w:szCs w:val="22"/>
                <w:lang w:eastAsia="zh-CN"/>
              </w:rPr>
              <w:t>Amortisation</w:t>
            </w:r>
            <w:proofErr w:type="spellEnd"/>
            <w:r w:rsidRPr="008C2F68">
              <w:rPr>
                <w:rFonts w:hint="eastAsia"/>
                <w:iCs/>
                <w:szCs w:val="22"/>
                <w:lang w:eastAsia="zh-CN"/>
              </w:rPr>
              <w:t xml:space="preserve"> of </w:t>
            </w:r>
            <w:r w:rsidRPr="008C2F68">
              <w:rPr>
                <w:iCs/>
                <w:szCs w:val="22"/>
                <w:lang w:eastAsia="zh-CN"/>
              </w:rPr>
              <w:t>prepaid lease payments for land</w:t>
            </w:r>
          </w:p>
          <w:p w:rsidR="004567BB" w:rsidRPr="008C2F68" w:rsidRDefault="004567BB" w:rsidP="00BB6715">
            <w:pPr>
              <w:pStyle w:val="BodyText"/>
              <w:tabs>
                <w:tab w:val="clear" w:pos="1080"/>
              </w:tabs>
              <w:spacing w:line="233" w:lineRule="auto"/>
              <w:rPr>
                <w:iCs/>
                <w:szCs w:val="22"/>
                <w:lang w:eastAsia="zh-CN"/>
              </w:rPr>
            </w:pPr>
          </w:p>
        </w:tc>
        <w:tc>
          <w:tcPr>
            <w:tcW w:w="1530" w:type="dxa"/>
          </w:tcPr>
          <w:p w:rsidR="004567BB" w:rsidRPr="008C2F68" w:rsidRDefault="004567BB" w:rsidP="008A6B21">
            <w:pPr>
              <w:pStyle w:val="BodyText"/>
              <w:tabs>
                <w:tab w:val="clear" w:pos="1080"/>
              </w:tabs>
              <w:spacing w:line="233" w:lineRule="auto"/>
              <w:jc w:val="center"/>
              <w:rPr>
                <w:bCs/>
                <w:szCs w:val="22"/>
                <w:lang w:eastAsia="zh-CN"/>
              </w:rPr>
            </w:pPr>
          </w:p>
          <w:p w:rsidR="004567BB" w:rsidRPr="008C2F68" w:rsidRDefault="007642BE" w:rsidP="008A6B21">
            <w:pPr>
              <w:pStyle w:val="BodyText"/>
              <w:tabs>
                <w:tab w:val="clear" w:pos="1080"/>
              </w:tabs>
              <w:spacing w:line="233" w:lineRule="auto"/>
              <w:jc w:val="center"/>
              <w:rPr>
                <w:bCs/>
                <w:szCs w:val="22"/>
                <w:lang w:eastAsia="zh-CN"/>
              </w:rPr>
            </w:pPr>
            <w:r w:rsidRPr="008C2F68">
              <w:rPr>
                <w:bCs/>
                <w:szCs w:val="22"/>
                <w:lang w:eastAsia="zh-CN"/>
              </w:rPr>
              <w:t>1</w:t>
            </w:r>
          </w:p>
        </w:tc>
        <w:tc>
          <w:tcPr>
            <w:tcW w:w="1350" w:type="dxa"/>
          </w:tcPr>
          <w:p w:rsidR="004567BB" w:rsidRPr="008C2F68" w:rsidRDefault="004567BB" w:rsidP="008A6B21">
            <w:pPr>
              <w:pStyle w:val="BodyText"/>
              <w:tabs>
                <w:tab w:val="clear" w:pos="1080"/>
              </w:tabs>
              <w:spacing w:line="233" w:lineRule="auto"/>
              <w:jc w:val="center"/>
              <w:rPr>
                <w:bCs/>
                <w:iCs/>
                <w:szCs w:val="22"/>
                <w:lang w:eastAsia="zh-CN"/>
              </w:rPr>
            </w:pPr>
          </w:p>
          <w:p w:rsidR="004567BB" w:rsidRPr="008C2F68" w:rsidRDefault="007D2129" w:rsidP="008A6B21">
            <w:pPr>
              <w:pStyle w:val="BodyText"/>
              <w:tabs>
                <w:tab w:val="clear" w:pos="1080"/>
              </w:tabs>
              <w:spacing w:line="233" w:lineRule="auto"/>
              <w:jc w:val="center"/>
              <w:rPr>
                <w:bCs/>
                <w:iCs/>
                <w:szCs w:val="22"/>
                <w:lang w:eastAsia="zh-CN"/>
              </w:rPr>
            </w:pPr>
            <w:r w:rsidRPr="008C2F68">
              <w:rPr>
                <w:bCs/>
                <w:iCs/>
                <w:szCs w:val="22"/>
                <w:lang w:eastAsia="zh-CN"/>
              </w:rPr>
              <w:t>1</w:t>
            </w:r>
          </w:p>
          <w:p w:rsidR="002425E2" w:rsidRPr="008C2F68" w:rsidRDefault="002425E2" w:rsidP="008A6B21">
            <w:pPr>
              <w:pStyle w:val="BodyText"/>
              <w:tabs>
                <w:tab w:val="clear" w:pos="1080"/>
              </w:tabs>
              <w:spacing w:line="233" w:lineRule="auto"/>
              <w:jc w:val="center"/>
              <w:rPr>
                <w:bCs/>
                <w:iCs/>
                <w:szCs w:val="22"/>
                <w:lang w:eastAsia="zh-CN"/>
              </w:rPr>
            </w:pPr>
          </w:p>
        </w:tc>
        <w:tc>
          <w:tcPr>
            <w:tcW w:w="1440" w:type="dxa"/>
          </w:tcPr>
          <w:p w:rsidR="004567BB" w:rsidRPr="008C2F68" w:rsidRDefault="004567BB" w:rsidP="005A5FD6">
            <w:pPr>
              <w:pStyle w:val="BodyText"/>
              <w:tabs>
                <w:tab w:val="clear" w:pos="1080"/>
              </w:tabs>
              <w:spacing w:line="233" w:lineRule="auto"/>
              <w:jc w:val="center"/>
              <w:rPr>
                <w:bCs/>
                <w:szCs w:val="22"/>
                <w:lang w:eastAsia="zh-CN"/>
              </w:rPr>
            </w:pPr>
          </w:p>
          <w:p w:rsidR="007642BE" w:rsidRPr="008C2F68" w:rsidRDefault="007642BE" w:rsidP="005A5FD6">
            <w:pPr>
              <w:pStyle w:val="BodyText"/>
              <w:tabs>
                <w:tab w:val="clear" w:pos="1080"/>
              </w:tabs>
              <w:spacing w:line="233" w:lineRule="auto"/>
              <w:jc w:val="center"/>
              <w:rPr>
                <w:bCs/>
                <w:szCs w:val="22"/>
                <w:lang w:eastAsia="zh-CN"/>
              </w:rPr>
            </w:pPr>
            <w:r w:rsidRPr="008C2F68">
              <w:rPr>
                <w:bCs/>
                <w:szCs w:val="22"/>
                <w:lang w:eastAsia="zh-CN"/>
              </w:rPr>
              <w:t>5</w:t>
            </w:r>
          </w:p>
        </w:tc>
        <w:tc>
          <w:tcPr>
            <w:tcW w:w="1530" w:type="dxa"/>
          </w:tcPr>
          <w:p w:rsidR="004567BB" w:rsidRPr="008C2F68" w:rsidRDefault="004567BB" w:rsidP="005A5FD6">
            <w:pPr>
              <w:pStyle w:val="BodyText"/>
              <w:tabs>
                <w:tab w:val="clear" w:pos="1080"/>
              </w:tabs>
              <w:spacing w:line="233" w:lineRule="auto"/>
              <w:jc w:val="center"/>
              <w:rPr>
                <w:bCs/>
                <w:iCs/>
                <w:szCs w:val="22"/>
                <w:lang w:eastAsia="zh-CN"/>
              </w:rPr>
            </w:pPr>
          </w:p>
          <w:p w:rsidR="002425E2" w:rsidRPr="008C2F68" w:rsidRDefault="00CA3E58" w:rsidP="005A5FD6">
            <w:pPr>
              <w:pStyle w:val="BodyText"/>
              <w:tabs>
                <w:tab w:val="clear" w:pos="1080"/>
              </w:tabs>
              <w:spacing w:line="233" w:lineRule="auto"/>
              <w:jc w:val="center"/>
              <w:rPr>
                <w:bCs/>
                <w:iCs/>
                <w:szCs w:val="22"/>
                <w:lang w:eastAsia="zh-CN"/>
              </w:rPr>
            </w:pPr>
            <w:r w:rsidRPr="008C2F68">
              <w:rPr>
                <w:bCs/>
                <w:iCs/>
                <w:szCs w:val="22"/>
                <w:lang w:eastAsia="zh-CN"/>
              </w:rPr>
              <w:t>5</w:t>
            </w:r>
          </w:p>
        </w:tc>
      </w:tr>
      <w:tr w:rsidR="004567BB" w:rsidRPr="008C2F68" w:rsidTr="00F06AC2">
        <w:tc>
          <w:tcPr>
            <w:tcW w:w="3798" w:type="dxa"/>
          </w:tcPr>
          <w:p w:rsidR="004567BB" w:rsidRPr="008C2F68" w:rsidRDefault="004567BB" w:rsidP="00C15F13">
            <w:pPr>
              <w:pStyle w:val="BodyText"/>
              <w:tabs>
                <w:tab w:val="clear" w:pos="1080"/>
              </w:tabs>
              <w:spacing w:line="233" w:lineRule="auto"/>
              <w:rPr>
                <w:iCs/>
                <w:szCs w:val="22"/>
                <w:lang w:eastAsia="zh-CN"/>
              </w:rPr>
            </w:pPr>
            <w:r w:rsidRPr="008C2F68">
              <w:rPr>
                <w:rFonts w:hint="eastAsia"/>
                <w:iCs/>
                <w:szCs w:val="22"/>
                <w:lang w:eastAsia="zh-CN"/>
              </w:rPr>
              <w:t>Bad debts written off</w:t>
            </w:r>
          </w:p>
          <w:p w:rsidR="004567BB" w:rsidRPr="008C2F68" w:rsidRDefault="004567BB" w:rsidP="00C15F13">
            <w:pPr>
              <w:pStyle w:val="BodyText"/>
              <w:tabs>
                <w:tab w:val="clear" w:pos="1080"/>
              </w:tabs>
              <w:spacing w:line="233" w:lineRule="auto"/>
              <w:rPr>
                <w:iCs/>
                <w:szCs w:val="22"/>
                <w:lang w:eastAsia="zh-CN"/>
              </w:rPr>
            </w:pPr>
          </w:p>
        </w:tc>
        <w:tc>
          <w:tcPr>
            <w:tcW w:w="1530" w:type="dxa"/>
          </w:tcPr>
          <w:p w:rsidR="004567BB" w:rsidRPr="008C2F68" w:rsidRDefault="007512A6" w:rsidP="008A6B21">
            <w:pPr>
              <w:pStyle w:val="BodyText"/>
              <w:tabs>
                <w:tab w:val="clear" w:pos="1080"/>
              </w:tabs>
              <w:spacing w:line="233" w:lineRule="auto"/>
              <w:jc w:val="center"/>
              <w:rPr>
                <w:bCs/>
                <w:szCs w:val="22"/>
                <w:lang w:eastAsia="zh-CN"/>
              </w:rPr>
            </w:pPr>
            <w:r w:rsidRPr="008C2F68">
              <w:rPr>
                <w:bCs/>
                <w:szCs w:val="22"/>
                <w:lang w:eastAsia="zh-CN"/>
              </w:rPr>
              <w:t>-</w:t>
            </w:r>
          </w:p>
        </w:tc>
        <w:tc>
          <w:tcPr>
            <w:tcW w:w="1350" w:type="dxa"/>
          </w:tcPr>
          <w:p w:rsidR="004567BB" w:rsidRPr="008C2F68" w:rsidRDefault="00DC04B4" w:rsidP="008A6B21">
            <w:pPr>
              <w:pStyle w:val="BodyText"/>
              <w:tabs>
                <w:tab w:val="clear" w:pos="1080"/>
              </w:tabs>
              <w:spacing w:line="233" w:lineRule="auto"/>
              <w:jc w:val="center"/>
              <w:rPr>
                <w:bCs/>
                <w:iCs/>
                <w:szCs w:val="22"/>
                <w:lang w:eastAsia="zh-CN"/>
              </w:rPr>
            </w:pPr>
            <w:r w:rsidRPr="008C2F68">
              <w:rPr>
                <w:bCs/>
                <w:iCs/>
                <w:szCs w:val="22"/>
                <w:lang w:eastAsia="zh-CN"/>
              </w:rPr>
              <w:t>-</w:t>
            </w:r>
          </w:p>
        </w:tc>
        <w:tc>
          <w:tcPr>
            <w:tcW w:w="1440" w:type="dxa"/>
          </w:tcPr>
          <w:p w:rsidR="004567BB" w:rsidRPr="008C2F68" w:rsidRDefault="00DC3467" w:rsidP="00F82BA0">
            <w:pPr>
              <w:pStyle w:val="BodyText"/>
              <w:tabs>
                <w:tab w:val="clear" w:pos="1080"/>
              </w:tabs>
              <w:spacing w:line="233" w:lineRule="auto"/>
              <w:jc w:val="center"/>
              <w:rPr>
                <w:bCs/>
                <w:szCs w:val="22"/>
                <w:lang w:eastAsia="zh-CN"/>
              </w:rPr>
            </w:pPr>
            <w:r w:rsidRPr="008C2F68">
              <w:rPr>
                <w:bCs/>
                <w:szCs w:val="22"/>
                <w:lang w:eastAsia="zh-CN"/>
              </w:rPr>
              <w:t>53</w:t>
            </w:r>
          </w:p>
        </w:tc>
        <w:tc>
          <w:tcPr>
            <w:tcW w:w="1530" w:type="dxa"/>
          </w:tcPr>
          <w:p w:rsidR="004567BB" w:rsidRPr="008C2F68" w:rsidRDefault="00DC04B4" w:rsidP="00F82BA0">
            <w:pPr>
              <w:pStyle w:val="BodyText"/>
              <w:tabs>
                <w:tab w:val="clear" w:pos="1080"/>
              </w:tabs>
              <w:spacing w:line="233" w:lineRule="auto"/>
              <w:jc w:val="center"/>
              <w:rPr>
                <w:bCs/>
                <w:iCs/>
                <w:szCs w:val="22"/>
                <w:lang w:eastAsia="zh-CN"/>
              </w:rPr>
            </w:pPr>
            <w:r w:rsidRPr="008C2F68">
              <w:rPr>
                <w:bCs/>
                <w:iCs/>
                <w:szCs w:val="22"/>
                <w:lang w:eastAsia="zh-CN"/>
              </w:rPr>
              <w:t>-</w:t>
            </w:r>
          </w:p>
        </w:tc>
      </w:tr>
      <w:tr w:rsidR="004567BB" w:rsidRPr="008C2F68" w:rsidTr="00F06AC2">
        <w:tc>
          <w:tcPr>
            <w:tcW w:w="3798" w:type="dxa"/>
          </w:tcPr>
          <w:p w:rsidR="004567BB" w:rsidRPr="008C2F68" w:rsidRDefault="004567BB" w:rsidP="00C15F13">
            <w:pPr>
              <w:pStyle w:val="BodyText"/>
              <w:tabs>
                <w:tab w:val="clear" w:pos="1080"/>
              </w:tabs>
              <w:spacing w:line="233" w:lineRule="auto"/>
              <w:rPr>
                <w:iCs/>
                <w:szCs w:val="22"/>
                <w:lang w:eastAsia="zh-CN"/>
              </w:rPr>
            </w:pPr>
            <w:r w:rsidRPr="008C2F68">
              <w:rPr>
                <w:rFonts w:hint="eastAsia"/>
                <w:iCs/>
                <w:szCs w:val="22"/>
                <w:lang w:eastAsia="zh-CN"/>
              </w:rPr>
              <w:t>Bad debts recovery</w:t>
            </w:r>
          </w:p>
          <w:p w:rsidR="004567BB" w:rsidRPr="008C2F68" w:rsidRDefault="004567BB" w:rsidP="00C15F13">
            <w:pPr>
              <w:pStyle w:val="BodyText"/>
              <w:tabs>
                <w:tab w:val="clear" w:pos="1080"/>
              </w:tabs>
              <w:spacing w:line="233" w:lineRule="auto"/>
              <w:rPr>
                <w:iCs/>
                <w:szCs w:val="22"/>
                <w:lang w:eastAsia="zh-CN"/>
              </w:rPr>
            </w:pPr>
          </w:p>
        </w:tc>
        <w:tc>
          <w:tcPr>
            <w:tcW w:w="1530" w:type="dxa"/>
          </w:tcPr>
          <w:p w:rsidR="004567BB" w:rsidRPr="008C2F68" w:rsidRDefault="00146E68" w:rsidP="00146E68">
            <w:pPr>
              <w:pStyle w:val="BodyText"/>
              <w:tabs>
                <w:tab w:val="clear" w:pos="1080"/>
              </w:tabs>
              <w:spacing w:line="233" w:lineRule="auto"/>
              <w:jc w:val="center"/>
              <w:rPr>
                <w:bCs/>
                <w:szCs w:val="22"/>
                <w:lang w:eastAsia="zh-CN"/>
              </w:rPr>
            </w:pPr>
            <w:r w:rsidRPr="008C2F68">
              <w:rPr>
                <w:bCs/>
                <w:szCs w:val="22"/>
                <w:lang w:eastAsia="zh-CN"/>
              </w:rPr>
              <w:t>-</w:t>
            </w:r>
          </w:p>
        </w:tc>
        <w:tc>
          <w:tcPr>
            <w:tcW w:w="1350" w:type="dxa"/>
          </w:tcPr>
          <w:p w:rsidR="004567BB" w:rsidRPr="008C2F68" w:rsidRDefault="007D2129" w:rsidP="00FD0FB5">
            <w:pPr>
              <w:pStyle w:val="BodyText"/>
              <w:tabs>
                <w:tab w:val="clear" w:pos="1080"/>
              </w:tabs>
              <w:spacing w:line="233" w:lineRule="auto"/>
              <w:jc w:val="center"/>
              <w:rPr>
                <w:bCs/>
                <w:iCs/>
                <w:szCs w:val="22"/>
                <w:lang w:eastAsia="zh-CN"/>
              </w:rPr>
            </w:pPr>
            <w:r w:rsidRPr="008C2F68">
              <w:rPr>
                <w:bCs/>
                <w:iCs/>
                <w:szCs w:val="22"/>
                <w:lang w:eastAsia="zh-CN"/>
              </w:rPr>
              <w:t>(40</w:t>
            </w:r>
            <w:r w:rsidR="00DC04B4" w:rsidRPr="008C2F68">
              <w:rPr>
                <w:bCs/>
                <w:iCs/>
                <w:szCs w:val="22"/>
                <w:lang w:eastAsia="zh-CN"/>
              </w:rPr>
              <w:t>)</w:t>
            </w:r>
          </w:p>
        </w:tc>
        <w:tc>
          <w:tcPr>
            <w:tcW w:w="1440" w:type="dxa"/>
          </w:tcPr>
          <w:p w:rsidR="004567BB" w:rsidRPr="008C2F68" w:rsidRDefault="00DC3467" w:rsidP="004567BB">
            <w:pPr>
              <w:pStyle w:val="BodyText"/>
              <w:tabs>
                <w:tab w:val="clear" w:pos="1080"/>
              </w:tabs>
              <w:spacing w:line="233" w:lineRule="auto"/>
              <w:jc w:val="center"/>
              <w:rPr>
                <w:bCs/>
                <w:szCs w:val="22"/>
                <w:lang w:eastAsia="zh-CN"/>
              </w:rPr>
            </w:pPr>
            <w:r w:rsidRPr="008C2F68">
              <w:rPr>
                <w:bCs/>
                <w:szCs w:val="22"/>
                <w:lang w:eastAsia="zh-CN"/>
              </w:rPr>
              <w:t>-</w:t>
            </w:r>
          </w:p>
        </w:tc>
        <w:tc>
          <w:tcPr>
            <w:tcW w:w="1530" w:type="dxa"/>
          </w:tcPr>
          <w:p w:rsidR="004567BB" w:rsidRPr="008C2F68" w:rsidRDefault="00CA3E58" w:rsidP="002425E2">
            <w:pPr>
              <w:pStyle w:val="BodyText"/>
              <w:tabs>
                <w:tab w:val="clear" w:pos="1080"/>
              </w:tabs>
              <w:spacing w:line="233" w:lineRule="auto"/>
              <w:jc w:val="center"/>
              <w:rPr>
                <w:bCs/>
                <w:iCs/>
                <w:szCs w:val="22"/>
                <w:lang w:eastAsia="zh-CN"/>
              </w:rPr>
            </w:pPr>
            <w:r w:rsidRPr="008C2F68">
              <w:rPr>
                <w:bCs/>
                <w:iCs/>
                <w:szCs w:val="22"/>
                <w:lang w:eastAsia="zh-CN"/>
              </w:rPr>
              <w:t>(24</w:t>
            </w:r>
            <w:r w:rsidR="00546150" w:rsidRPr="008C2F68">
              <w:rPr>
                <w:bCs/>
                <w:iCs/>
                <w:szCs w:val="22"/>
                <w:lang w:eastAsia="zh-CN"/>
              </w:rPr>
              <w:t>)</w:t>
            </w:r>
          </w:p>
        </w:tc>
      </w:tr>
      <w:tr w:rsidR="004567BB" w:rsidRPr="008C2F68" w:rsidTr="00F06AC2">
        <w:tc>
          <w:tcPr>
            <w:tcW w:w="3798" w:type="dxa"/>
          </w:tcPr>
          <w:p w:rsidR="004567BB" w:rsidRPr="008C2F68" w:rsidRDefault="004567BB"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00050402"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4567BB" w:rsidRPr="008C2F68" w:rsidRDefault="004567BB" w:rsidP="008B4D86">
            <w:pPr>
              <w:pStyle w:val="BodyText"/>
              <w:tabs>
                <w:tab w:val="clear" w:pos="1080"/>
              </w:tabs>
              <w:spacing w:line="233" w:lineRule="auto"/>
              <w:ind w:left="180" w:hanging="180"/>
              <w:rPr>
                <w:iCs/>
                <w:szCs w:val="22"/>
                <w:lang w:eastAsia="zh-CN"/>
              </w:rPr>
            </w:pPr>
          </w:p>
        </w:tc>
        <w:tc>
          <w:tcPr>
            <w:tcW w:w="1530" w:type="dxa"/>
          </w:tcPr>
          <w:p w:rsidR="004567BB" w:rsidRPr="008C2F68" w:rsidRDefault="004567BB" w:rsidP="008A6B21">
            <w:pPr>
              <w:pStyle w:val="BodyText"/>
              <w:tabs>
                <w:tab w:val="clear" w:pos="1080"/>
              </w:tabs>
              <w:spacing w:line="233" w:lineRule="auto"/>
              <w:jc w:val="center"/>
              <w:rPr>
                <w:bCs/>
                <w:szCs w:val="22"/>
                <w:lang w:eastAsia="zh-CN"/>
              </w:rPr>
            </w:pPr>
          </w:p>
          <w:p w:rsidR="00146E68" w:rsidRPr="008C2F68" w:rsidRDefault="007642BE" w:rsidP="008A6B21">
            <w:pPr>
              <w:pStyle w:val="BodyText"/>
              <w:tabs>
                <w:tab w:val="clear" w:pos="1080"/>
              </w:tabs>
              <w:spacing w:line="233" w:lineRule="auto"/>
              <w:jc w:val="center"/>
              <w:rPr>
                <w:bCs/>
                <w:szCs w:val="22"/>
                <w:lang w:eastAsia="zh-CN"/>
              </w:rPr>
            </w:pPr>
            <w:r w:rsidRPr="008C2F68">
              <w:rPr>
                <w:bCs/>
                <w:szCs w:val="22"/>
                <w:lang w:eastAsia="zh-CN"/>
              </w:rPr>
              <w:t>189</w:t>
            </w:r>
          </w:p>
          <w:p w:rsidR="007642BE" w:rsidRPr="008C2F68" w:rsidRDefault="007642BE" w:rsidP="008A6B21">
            <w:pPr>
              <w:pStyle w:val="BodyText"/>
              <w:tabs>
                <w:tab w:val="clear" w:pos="1080"/>
              </w:tabs>
              <w:spacing w:line="233" w:lineRule="auto"/>
              <w:jc w:val="center"/>
              <w:rPr>
                <w:bCs/>
                <w:szCs w:val="22"/>
                <w:lang w:eastAsia="zh-CN"/>
              </w:rPr>
            </w:pPr>
          </w:p>
        </w:tc>
        <w:tc>
          <w:tcPr>
            <w:tcW w:w="1350" w:type="dxa"/>
          </w:tcPr>
          <w:p w:rsidR="002425E2" w:rsidRPr="008C2F68" w:rsidRDefault="002425E2" w:rsidP="008A6B21">
            <w:pPr>
              <w:pStyle w:val="BodyText"/>
              <w:tabs>
                <w:tab w:val="clear" w:pos="1080"/>
              </w:tabs>
              <w:spacing w:line="233" w:lineRule="auto"/>
              <w:jc w:val="center"/>
              <w:rPr>
                <w:bCs/>
                <w:iCs/>
                <w:szCs w:val="22"/>
                <w:lang w:eastAsia="zh-CN"/>
              </w:rPr>
            </w:pPr>
          </w:p>
          <w:p w:rsidR="00DC04B4" w:rsidRPr="008C2F68" w:rsidRDefault="007D2129" w:rsidP="008A6B21">
            <w:pPr>
              <w:pStyle w:val="BodyText"/>
              <w:tabs>
                <w:tab w:val="clear" w:pos="1080"/>
              </w:tabs>
              <w:spacing w:line="233" w:lineRule="auto"/>
              <w:jc w:val="center"/>
              <w:rPr>
                <w:bCs/>
                <w:iCs/>
                <w:szCs w:val="22"/>
                <w:lang w:eastAsia="zh-CN"/>
              </w:rPr>
            </w:pPr>
            <w:r w:rsidRPr="008C2F68">
              <w:rPr>
                <w:bCs/>
                <w:iCs/>
                <w:szCs w:val="22"/>
                <w:lang w:eastAsia="zh-CN"/>
              </w:rPr>
              <w:t>186</w:t>
            </w:r>
          </w:p>
        </w:tc>
        <w:tc>
          <w:tcPr>
            <w:tcW w:w="1440" w:type="dxa"/>
          </w:tcPr>
          <w:p w:rsidR="00DC3467" w:rsidRPr="008C2F68" w:rsidRDefault="00DC3467" w:rsidP="00F82BA0">
            <w:pPr>
              <w:pStyle w:val="BodyText"/>
              <w:tabs>
                <w:tab w:val="clear" w:pos="1080"/>
              </w:tabs>
              <w:spacing w:line="233" w:lineRule="auto"/>
              <w:jc w:val="center"/>
              <w:rPr>
                <w:bCs/>
                <w:szCs w:val="22"/>
                <w:lang w:eastAsia="zh-CN"/>
              </w:rPr>
            </w:pPr>
          </w:p>
          <w:p w:rsidR="004567BB" w:rsidRPr="008C2F68" w:rsidRDefault="007642BE" w:rsidP="00F82BA0">
            <w:pPr>
              <w:pStyle w:val="BodyText"/>
              <w:tabs>
                <w:tab w:val="clear" w:pos="1080"/>
              </w:tabs>
              <w:spacing w:line="233" w:lineRule="auto"/>
              <w:jc w:val="center"/>
              <w:rPr>
                <w:bCs/>
                <w:szCs w:val="22"/>
                <w:lang w:eastAsia="zh-CN"/>
              </w:rPr>
            </w:pPr>
            <w:r w:rsidRPr="008C2F68">
              <w:rPr>
                <w:bCs/>
                <w:szCs w:val="22"/>
                <w:lang w:eastAsia="zh-CN"/>
              </w:rPr>
              <w:t>589</w:t>
            </w:r>
          </w:p>
          <w:p w:rsidR="002425E2" w:rsidRPr="008C2F68" w:rsidRDefault="002425E2" w:rsidP="00F82BA0">
            <w:pPr>
              <w:pStyle w:val="BodyText"/>
              <w:tabs>
                <w:tab w:val="clear" w:pos="1080"/>
              </w:tabs>
              <w:spacing w:line="233" w:lineRule="auto"/>
              <w:jc w:val="center"/>
              <w:rPr>
                <w:bCs/>
                <w:szCs w:val="22"/>
                <w:lang w:eastAsia="zh-CN"/>
              </w:rPr>
            </w:pPr>
          </w:p>
        </w:tc>
        <w:tc>
          <w:tcPr>
            <w:tcW w:w="1530" w:type="dxa"/>
          </w:tcPr>
          <w:p w:rsidR="004567BB" w:rsidRPr="008C2F68" w:rsidRDefault="004567BB" w:rsidP="00F969C3">
            <w:pPr>
              <w:pStyle w:val="BodyText"/>
              <w:tabs>
                <w:tab w:val="clear" w:pos="1080"/>
              </w:tabs>
              <w:spacing w:line="233" w:lineRule="auto"/>
              <w:jc w:val="center"/>
              <w:rPr>
                <w:bCs/>
                <w:iCs/>
                <w:szCs w:val="22"/>
                <w:lang w:eastAsia="zh-CN"/>
              </w:rPr>
            </w:pPr>
          </w:p>
          <w:p w:rsidR="002425E2" w:rsidRPr="008C2F68" w:rsidRDefault="00CA3E58" w:rsidP="00DC04B4">
            <w:pPr>
              <w:pStyle w:val="BodyText"/>
              <w:tabs>
                <w:tab w:val="clear" w:pos="1080"/>
              </w:tabs>
              <w:spacing w:line="233" w:lineRule="auto"/>
              <w:jc w:val="center"/>
              <w:rPr>
                <w:bCs/>
                <w:iCs/>
                <w:szCs w:val="22"/>
                <w:lang w:eastAsia="zh-CN"/>
              </w:rPr>
            </w:pPr>
            <w:r w:rsidRPr="008C2F68">
              <w:rPr>
                <w:bCs/>
                <w:iCs/>
                <w:szCs w:val="22"/>
                <w:lang w:eastAsia="zh-CN"/>
              </w:rPr>
              <w:t>562</w:t>
            </w:r>
          </w:p>
        </w:tc>
      </w:tr>
      <w:tr w:rsidR="004567BB" w:rsidRPr="008C2F68" w:rsidTr="00F06AC2">
        <w:tc>
          <w:tcPr>
            <w:tcW w:w="3798" w:type="dxa"/>
          </w:tcPr>
          <w:p w:rsidR="004567BB" w:rsidRPr="008C2F68" w:rsidRDefault="004567BB" w:rsidP="008B4D86">
            <w:pPr>
              <w:pStyle w:val="BodyText"/>
              <w:tabs>
                <w:tab w:val="clear" w:pos="1080"/>
              </w:tabs>
              <w:spacing w:line="233" w:lineRule="auto"/>
              <w:rPr>
                <w:iCs/>
                <w:szCs w:val="22"/>
                <w:lang w:eastAsia="zh-CN"/>
              </w:rPr>
            </w:pPr>
            <w:r w:rsidRPr="008C2F68">
              <w:rPr>
                <w:rFonts w:hint="eastAsia"/>
                <w:iCs/>
                <w:szCs w:val="22"/>
                <w:lang w:eastAsia="zh-CN"/>
              </w:rPr>
              <w:t xml:space="preserve">Net foreign </w:t>
            </w:r>
            <w:r w:rsidRPr="008C2F68">
              <w:rPr>
                <w:iCs/>
                <w:szCs w:val="22"/>
                <w:lang w:eastAsia="zh-CN"/>
              </w:rPr>
              <w:t xml:space="preserve">exchange </w:t>
            </w:r>
            <w:r w:rsidRPr="008C2F68">
              <w:rPr>
                <w:rFonts w:hint="eastAsia"/>
                <w:iCs/>
                <w:szCs w:val="22"/>
                <w:lang w:eastAsia="zh-CN"/>
              </w:rPr>
              <w:t>gain</w:t>
            </w:r>
          </w:p>
          <w:p w:rsidR="004567BB" w:rsidRPr="008C2F68" w:rsidRDefault="004567BB" w:rsidP="008B4D86">
            <w:pPr>
              <w:pStyle w:val="BodyText"/>
              <w:tabs>
                <w:tab w:val="clear" w:pos="1080"/>
              </w:tabs>
              <w:spacing w:line="233" w:lineRule="auto"/>
              <w:rPr>
                <w:iCs/>
                <w:szCs w:val="22"/>
                <w:lang w:eastAsia="zh-CN"/>
              </w:rPr>
            </w:pPr>
          </w:p>
        </w:tc>
        <w:tc>
          <w:tcPr>
            <w:tcW w:w="1530" w:type="dxa"/>
          </w:tcPr>
          <w:p w:rsidR="004567BB" w:rsidRPr="008C2F68" w:rsidRDefault="007642BE" w:rsidP="00146E68">
            <w:pPr>
              <w:pStyle w:val="BodyText"/>
              <w:tabs>
                <w:tab w:val="clear" w:pos="1080"/>
              </w:tabs>
              <w:spacing w:line="233" w:lineRule="auto"/>
              <w:jc w:val="center"/>
              <w:rPr>
                <w:bCs/>
                <w:szCs w:val="22"/>
                <w:lang w:eastAsia="zh-CN"/>
              </w:rPr>
            </w:pPr>
            <w:r w:rsidRPr="008C2F68">
              <w:rPr>
                <w:bCs/>
                <w:szCs w:val="22"/>
                <w:lang w:eastAsia="zh-CN"/>
              </w:rPr>
              <w:t>(101)</w:t>
            </w:r>
          </w:p>
        </w:tc>
        <w:tc>
          <w:tcPr>
            <w:tcW w:w="1350" w:type="dxa"/>
          </w:tcPr>
          <w:p w:rsidR="004567BB" w:rsidRPr="008C2F68" w:rsidRDefault="007D2129" w:rsidP="007D2129">
            <w:pPr>
              <w:pStyle w:val="BodyText"/>
              <w:tabs>
                <w:tab w:val="clear" w:pos="1080"/>
              </w:tabs>
              <w:spacing w:line="233" w:lineRule="auto"/>
              <w:jc w:val="center"/>
              <w:rPr>
                <w:bCs/>
                <w:iCs/>
                <w:szCs w:val="22"/>
                <w:lang w:eastAsia="zh-CN"/>
              </w:rPr>
            </w:pPr>
            <w:r w:rsidRPr="008C2F68">
              <w:rPr>
                <w:bCs/>
                <w:iCs/>
                <w:szCs w:val="22"/>
                <w:lang w:eastAsia="zh-CN"/>
              </w:rPr>
              <w:t>(</w:t>
            </w:r>
            <w:r w:rsidR="00DC04B4" w:rsidRPr="008C2F68">
              <w:rPr>
                <w:bCs/>
                <w:iCs/>
                <w:szCs w:val="22"/>
                <w:lang w:eastAsia="zh-CN"/>
              </w:rPr>
              <w:t>1</w:t>
            </w:r>
            <w:r w:rsidRPr="008C2F68">
              <w:rPr>
                <w:bCs/>
                <w:iCs/>
                <w:szCs w:val="22"/>
                <w:lang w:eastAsia="zh-CN"/>
              </w:rPr>
              <w:t>47)</w:t>
            </w:r>
          </w:p>
        </w:tc>
        <w:tc>
          <w:tcPr>
            <w:tcW w:w="1440" w:type="dxa"/>
          </w:tcPr>
          <w:p w:rsidR="004567BB" w:rsidRPr="008C2F68" w:rsidRDefault="007642BE" w:rsidP="002425E2">
            <w:pPr>
              <w:pStyle w:val="BodyText"/>
              <w:tabs>
                <w:tab w:val="clear" w:pos="1080"/>
              </w:tabs>
              <w:spacing w:line="233" w:lineRule="auto"/>
              <w:jc w:val="center"/>
              <w:rPr>
                <w:bCs/>
                <w:szCs w:val="22"/>
                <w:lang w:eastAsia="zh-CN"/>
              </w:rPr>
            </w:pPr>
            <w:r w:rsidRPr="008C2F68">
              <w:rPr>
                <w:bCs/>
                <w:szCs w:val="22"/>
                <w:lang w:eastAsia="zh-CN"/>
              </w:rPr>
              <w:t>(80)</w:t>
            </w:r>
          </w:p>
        </w:tc>
        <w:tc>
          <w:tcPr>
            <w:tcW w:w="1530" w:type="dxa"/>
          </w:tcPr>
          <w:p w:rsidR="004567BB" w:rsidRPr="008C2F68" w:rsidRDefault="00CA3E58" w:rsidP="00CA3E58">
            <w:pPr>
              <w:pStyle w:val="BodyText"/>
              <w:tabs>
                <w:tab w:val="clear" w:pos="1080"/>
              </w:tabs>
              <w:spacing w:line="233" w:lineRule="auto"/>
              <w:jc w:val="center"/>
              <w:rPr>
                <w:bCs/>
                <w:iCs/>
                <w:szCs w:val="22"/>
                <w:lang w:eastAsia="zh-CN"/>
              </w:rPr>
            </w:pPr>
            <w:r w:rsidRPr="008C2F68">
              <w:rPr>
                <w:bCs/>
                <w:iCs/>
                <w:szCs w:val="22"/>
                <w:lang w:eastAsia="zh-CN"/>
              </w:rPr>
              <w:t>(148)</w:t>
            </w:r>
          </w:p>
        </w:tc>
      </w:tr>
      <w:tr w:rsidR="004567BB" w:rsidRPr="008C2F68" w:rsidTr="00F06AC2">
        <w:tc>
          <w:tcPr>
            <w:tcW w:w="3798" w:type="dxa"/>
          </w:tcPr>
          <w:p w:rsidR="004567BB" w:rsidRPr="008C2F68" w:rsidRDefault="004E7462"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w:t>
            </w:r>
            <w:r w:rsidR="004567BB" w:rsidRPr="008C2F68">
              <w:rPr>
                <w:rFonts w:hint="eastAsia"/>
                <w:iCs/>
                <w:szCs w:val="22"/>
                <w:lang w:eastAsia="zh-CN"/>
              </w:rPr>
              <w:t>Gain</w:t>
            </w:r>
            <w:r w:rsidRPr="008C2F68">
              <w:rPr>
                <w:rFonts w:hint="eastAsia"/>
                <w:iCs/>
                <w:szCs w:val="22"/>
                <w:lang w:eastAsia="zh-CN"/>
              </w:rPr>
              <w:t>)</w:t>
            </w:r>
            <w:r w:rsidR="00EC012E" w:rsidRPr="008C2F68">
              <w:rPr>
                <w:iCs/>
                <w:szCs w:val="22"/>
                <w:lang w:eastAsia="zh-CN"/>
              </w:rPr>
              <w:t>/</w:t>
            </w:r>
            <w:r w:rsidR="00050402" w:rsidRPr="008C2F68">
              <w:rPr>
                <w:iCs/>
                <w:szCs w:val="22"/>
                <w:lang w:eastAsia="zh-CN"/>
              </w:rPr>
              <w:t>L</w:t>
            </w:r>
            <w:r w:rsidR="00EC012E" w:rsidRPr="008C2F68">
              <w:rPr>
                <w:iCs/>
                <w:szCs w:val="22"/>
                <w:lang w:eastAsia="zh-CN"/>
              </w:rPr>
              <w:t>oss</w:t>
            </w:r>
            <w:r w:rsidR="004567BB" w:rsidRPr="008C2F68">
              <w:rPr>
                <w:rFonts w:hint="eastAsia"/>
                <w:iCs/>
                <w:szCs w:val="22"/>
                <w:lang w:eastAsia="zh-CN"/>
              </w:rPr>
              <w:t xml:space="preserve"> on disposal of property, plant </w:t>
            </w:r>
            <w:r w:rsidR="004567BB" w:rsidRPr="008C2F68">
              <w:rPr>
                <w:iCs/>
                <w:szCs w:val="22"/>
                <w:lang w:eastAsia="zh-CN"/>
              </w:rPr>
              <w:t>and</w:t>
            </w:r>
            <w:r w:rsidR="004567BB" w:rsidRPr="008C2F68">
              <w:rPr>
                <w:rFonts w:hint="eastAsia"/>
                <w:iCs/>
                <w:szCs w:val="22"/>
                <w:lang w:eastAsia="zh-CN"/>
              </w:rPr>
              <w:t xml:space="preserve"> equipment</w:t>
            </w:r>
          </w:p>
          <w:p w:rsidR="004567BB" w:rsidRPr="008C2F68" w:rsidRDefault="004567BB" w:rsidP="008B4D86">
            <w:pPr>
              <w:pStyle w:val="BodyText"/>
              <w:tabs>
                <w:tab w:val="clear" w:pos="1080"/>
              </w:tabs>
              <w:spacing w:line="233" w:lineRule="auto"/>
              <w:ind w:left="180" w:hanging="180"/>
              <w:rPr>
                <w:iCs/>
                <w:szCs w:val="22"/>
                <w:lang w:eastAsia="zh-CN"/>
              </w:rPr>
            </w:pPr>
          </w:p>
        </w:tc>
        <w:tc>
          <w:tcPr>
            <w:tcW w:w="1530" w:type="dxa"/>
          </w:tcPr>
          <w:p w:rsidR="004567BB" w:rsidRPr="008C2F68" w:rsidRDefault="004567BB" w:rsidP="00FD0FB5">
            <w:pPr>
              <w:pStyle w:val="BodyText"/>
              <w:tabs>
                <w:tab w:val="clear" w:pos="1080"/>
              </w:tabs>
              <w:spacing w:line="233" w:lineRule="auto"/>
              <w:jc w:val="center"/>
              <w:rPr>
                <w:bCs/>
                <w:szCs w:val="22"/>
                <w:lang w:eastAsia="zh-CN"/>
              </w:rPr>
            </w:pPr>
          </w:p>
          <w:p w:rsidR="00DC3467" w:rsidRPr="008C2F68" w:rsidRDefault="007642BE" w:rsidP="00FD0FB5">
            <w:pPr>
              <w:pStyle w:val="BodyText"/>
              <w:tabs>
                <w:tab w:val="clear" w:pos="1080"/>
              </w:tabs>
              <w:spacing w:line="233" w:lineRule="auto"/>
              <w:jc w:val="center"/>
              <w:rPr>
                <w:bCs/>
                <w:szCs w:val="22"/>
                <w:lang w:eastAsia="zh-CN"/>
              </w:rPr>
            </w:pPr>
            <w:r w:rsidRPr="008C2F68">
              <w:rPr>
                <w:bCs/>
                <w:szCs w:val="22"/>
                <w:lang w:eastAsia="zh-CN"/>
              </w:rPr>
              <w:t>(15)</w:t>
            </w:r>
          </w:p>
          <w:p w:rsidR="007642BE" w:rsidRPr="008C2F68" w:rsidRDefault="007642BE" w:rsidP="00FD0FB5">
            <w:pPr>
              <w:pStyle w:val="BodyText"/>
              <w:tabs>
                <w:tab w:val="clear" w:pos="1080"/>
              </w:tabs>
              <w:spacing w:line="233" w:lineRule="auto"/>
              <w:jc w:val="center"/>
              <w:rPr>
                <w:bCs/>
                <w:szCs w:val="22"/>
                <w:lang w:eastAsia="zh-CN"/>
              </w:rPr>
            </w:pPr>
          </w:p>
        </w:tc>
        <w:tc>
          <w:tcPr>
            <w:tcW w:w="1350" w:type="dxa"/>
          </w:tcPr>
          <w:p w:rsidR="004567BB" w:rsidRPr="008C2F68" w:rsidRDefault="004567BB" w:rsidP="00546150">
            <w:pPr>
              <w:pStyle w:val="BodyText"/>
              <w:tabs>
                <w:tab w:val="clear" w:pos="1080"/>
              </w:tabs>
              <w:spacing w:line="233" w:lineRule="auto"/>
              <w:jc w:val="center"/>
              <w:rPr>
                <w:bCs/>
                <w:iCs/>
                <w:szCs w:val="22"/>
                <w:lang w:eastAsia="zh-CN"/>
              </w:rPr>
            </w:pPr>
          </w:p>
          <w:p w:rsidR="00DC04B4" w:rsidRPr="008C2F68" w:rsidRDefault="007D2129" w:rsidP="00546150">
            <w:pPr>
              <w:pStyle w:val="BodyText"/>
              <w:tabs>
                <w:tab w:val="clear" w:pos="1080"/>
              </w:tabs>
              <w:spacing w:line="233" w:lineRule="auto"/>
              <w:jc w:val="center"/>
              <w:rPr>
                <w:bCs/>
                <w:iCs/>
                <w:szCs w:val="22"/>
                <w:lang w:eastAsia="zh-CN"/>
              </w:rPr>
            </w:pPr>
            <w:r w:rsidRPr="008C2F68">
              <w:rPr>
                <w:bCs/>
                <w:iCs/>
                <w:szCs w:val="22"/>
                <w:lang w:eastAsia="zh-CN"/>
              </w:rPr>
              <w:t>-</w:t>
            </w:r>
          </w:p>
        </w:tc>
        <w:tc>
          <w:tcPr>
            <w:tcW w:w="1440" w:type="dxa"/>
          </w:tcPr>
          <w:p w:rsidR="00DC3467" w:rsidRPr="008C2F68" w:rsidRDefault="00DC3467" w:rsidP="00F969C3">
            <w:pPr>
              <w:pStyle w:val="BodyText"/>
              <w:tabs>
                <w:tab w:val="clear" w:pos="1080"/>
              </w:tabs>
              <w:spacing w:line="233" w:lineRule="auto"/>
              <w:jc w:val="center"/>
              <w:rPr>
                <w:bCs/>
                <w:szCs w:val="22"/>
                <w:lang w:eastAsia="zh-CN"/>
              </w:rPr>
            </w:pPr>
          </w:p>
          <w:p w:rsidR="007642BE" w:rsidRPr="008C2F68" w:rsidRDefault="007642BE" w:rsidP="00F969C3">
            <w:pPr>
              <w:pStyle w:val="BodyText"/>
              <w:tabs>
                <w:tab w:val="clear" w:pos="1080"/>
              </w:tabs>
              <w:spacing w:line="233" w:lineRule="auto"/>
              <w:jc w:val="center"/>
              <w:rPr>
                <w:bCs/>
                <w:szCs w:val="22"/>
                <w:lang w:eastAsia="zh-CN"/>
              </w:rPr>
            </w:pPr>
            <w:r w:rsidRPr="008C2F68">
              <w:rPr>
                <w:bCs/>
                <w:szCs w:val="22"/>
                <w:lang w:eastAsia="zh-CN"/>
              </w:rPr>
              <w:t>43</w:t>
            </w:r>
          </w:p>
          <w:p w:rsidR="007642BE" w:rsidRPr="008C2F68" w:rsidRDefault="007642BE" w:rsidP="00F969C3">
            <w:pPr>
              <w:pStyle w:val="BodyText"/>
              <w:tabs>
                <w:tab w:val="clear" w:pos="1080"/>
              </w:tabs>
              <w:spacing w:line="233" w:lineRule="auto"/>
              <w:jc w:val="center"/>
              <w:rPr>
                <w:bCs/>
                <w:szCs w:val="22"/>
                <w:lang w:eastAsia="zh-CN"/>
              </w:rPr>
            </w:pPr>
          </w:p>
        </w:tc>
        <w:tc>
          <w:tcPr>
            <w:tcW w:w="1530" w:type="dxa"/>
          </w:tcPr>
          <w:p w:rsidR="00546150" w:rsidRPr="008C2F68" w:rsidRDefault="00546150" w:rsidP="00F82BA0">
            <w:pPr>
              <w:pStyle w:val="BodyText"/>
              <w:tabs>
                <w:tab w:val="clear" w:pos="1080"/>
              </w:tabs>
              <w:spacing w:line="233" w:lineRule="auto"/>
              <w:jc w:val="center"/>
              <w:rPr>
                <w:bCs/>
                <w:iCs/>
                <w:szCs w:val="22"/>
                <w:lang w:eastAsia="zh-CN"/>
              </w:rPr>
            </w:pPr>
          </w:p>
          <w:p w:rsidR="004567BB" w:rsidRPr="008C2F68" w:rsidRDefault="00DC04B4" w:rsidP="00DC04B4">
            <w:pPr>
              <w:pStyle w:val="BodyText"/>
              <w:tabs>
                <w:tab w:val="clear" w:pos="1080"/>
              </w:tabs>
              <w:spacing w:line="233" w:lineRule="auto"/>
              <w:jc w:val="center"/>
              <w:rPr>
                <w:bCs/>
                <w:iCs/>
                <w:szCs w:val="22"/>
                <w:lang w:eastAsia="zh-CN"/>
              </w:rPr>
            </w:pPr>
            <w:r w:rsidRPr="008C2F68">
              <w:rPr>
                <w:bCs/>
                <w:iCs/>
                <w:szCs w:val="22"/>
                <w:lang w:eastAsia="zh-CN"/>
              </w:rPr>
              <w:t>(66</w:t>
            </w:r>
            <w:r w:rsidR="00546150" w:rsidRPr="008C2F68">
              <w:rPr>
                <w:bCs/>
                <w:iCs/>
                <w:szCs w:val="22"/>
                <w:lang w:eastAsia="zh-CN"/>
              </w:rPr>
              <w:t>)</w:t>
            </w:r>
          </w:p>
        </w:tc>
      </w:tr>
      <w:tr w:rsidR="004567BB" w:rsidRPr="008C2F68" w:rsidTr="00F06AC2">
        <w:tc>
          <w:tcPr>
            <w:tcW w:w="3798" w:type="dxa"/>
          </w:tcPr>
          <w:p w:rsidR="004567BB" w:rsidRPr="008C2F68" w:rsidRDefault="004567BB" w:rsidP="00C15F13">
            <w:pPr>
              <w:pStyle w:val="BodyText"/>
              <w:tabs>
                <w:tab w:val="clear" w:pos="1080"/>
              </w:tabs>
              <w:spacing w:line="233" w:lineRule="auto"/>
              <w:rPr>
                <w:iCs/>
                <w:szCs w:val="22"/>
                <w:lang w:eastAsia="zh-CN"/>
              </w:rPr>
            </w:pPr>
            <w:r w:rsidRPr="008C2F68">
              <w:rPr>
                <w:rFonts w:hint="eastAsia"/>
                <w:iCs/>
                <w:szCs w:val="22"/>
                <w:lang w:eastAsia="zh-CN"/>
              </w:rPr>
              <w:t>Interest income</w:t>
            </w:r>
          </w:p>
          <w:p w:rsidR="004567BB" w:rsidRPr="008C2F68" w:rsidRDefault="004567BB" w:rsidP="00C15F13">
            <w:pPr>
              <w:pStyle w:val="BodyText"/>
              <w:tabs>
                <w:tab w:val="clear" w:pos="1080"/>
              </w:tabs>
              <w:spacing w:line="233" w:lineRule="auto"/>
              <w:rPr>
                <w:iCs/>
                <w:szCs w:val="22"/>
                <w:lang w:eastAsia="zh-CN"/>
              </w:rPr>
            </w:pPr>
          </w:p>
        </w:tc>
        <w:tc>
          <w:tcPr>
            <w:tcW w:w="1530" w:type="dxa"/>
          </w:tcPr>
          <w:p w:rsidR="004567BB" w:rsidRPr="008C2F68" w:rsidRDefault="00DC3467" w:rsidP="007642BE">
            <w:pPr>
              <w:pStyle w:val="BodyText"/>
              <w:tabs>
                <w:tab w:val="clear" w:pos="1080"/>
              </w:tabs>
              <w:spacing w:line="233" w:lineRule="auto"/>
              <w:jc w:val="center"/>
              <w:rPr>
                <w:bCs/>
                <w:szCs w:val="22"/>
                <w:lang w:eastAsia="zh-CN"/>
              </w:rPr>
            </w:pPr>
            <w:r w:rsidRPr="008C2F68">
              <w:rPr>
                <w:bCs/>
                <w:szCs w:val="22"/>
                <w:lang w:eastAsia="zh-CN"/>
              </w:rPr>
              <w:t>(</w:t>
            </w:r>
            <w:r w:rsidR="007642BE" w:rsidRPr="008C2F68">
              <w:rPr>
                <w:bCs/>
                <w:szCs w:val="22"/>
                <w:lang w:eastAsia="zh-CN"/>
              </w:rPr>
              <w:t>95</w:t>
            </w:r>
            <w:r w:rsidRPr="008C2F68">
              <w:rPr>
                <w:bCs/>
                <w:szCs w:val="22"/>
                <w:lang w:eastAsia="zh-CN"/>
              </w:rPr>
              <w:t>)</w:t>
            </w:r>
          </w:p>
        </w:tc>
        <w:tc>
          <w:tcPr>
            <w:tcW w:w="1350" w:type="dxa"/>
          </w:tcPr>
          <w:p w:rsidR="004567BB" w:rsidRPr="008C2F68" w:rsidRDefault="007D2129" w:rsidP="007D2129">
            <w:pPr>
              <w:pStyle w:val="BodyText"/>
              <w:tabs>
                <w:tab w:val="clear" w:pos="1080"/>
              </w:tabs>
              <w:spacing w:line="233" w:lineRule="auto"/>
              <w:jc w:val="center"/>
              <w:rPr>
                <w:bCs/>
                <w:iCs/>
                <w:szCs w:val="22"/>
                <w:lang w:eastAsia="zh-CN"/>
              </w:rPr>
            </w:pPr>
            <w:r w:rsidRPr="008C2F68">
              <w:rPr>
                <w:bCs/>
                <w:iCs/>
                <w:szCs w:val="22"/>
                <w:lang w:eastAsia="zh-CN"/>
              </w:rPr>
              <w:t>(71</w:t>
            </w:r>
            <w:r w:rsidR="00DC04B4" w:rsidRPr="008C2F68">
              <w:rPr>
                <w:bCs/>
                <w:iCs/>
                <w:szCs w:val="22"/>
                <w:lang w:eastAsia="zh-CN"/>
              </w:rPr>
              <w:t>)</w:t>
            </w:r>
          </w:p>
        </w:tc>
        <w:tc>
          <w:tcPr>
            <w:tcW w:w="1440" w:type="dxa"/>
          </w:tcPr>
          <w:p w:rsidR="004567BB" w:rsidRPr="008C2F68" w:rsidRDefault="007642BE" w:rsidP="002425E2">
            <w:pPr>
              <w:pStyle w:val="BodyText"/>
              <w:tabs>
                <w:tab w:val="clear" w:pos="1080"/>
              </w:tabs>
              <w:spacing w:line="233" w:lineRule="auto"/>
              <w:jc w:val="center"/>
              <w:rPr>
                <w:bCs/>
                <w:szCs w:val="22"/>
                <w:lang w:eastAsia="zh-CN"/>
              </w:rPr>
            </w:pPr>
            <w:r w:rsidRPr="008C2F68">
              <w:rPr>
                <w:bCs/>
                <w:szCs w:val="22"/>
                <w:lang w:eastAsia="zh-CN"/>
              </w:rPr>
              <w:t>(197</w:t>
            </w:r>
            <w:r w:rsidR="00DC3467" w:rsidRPr="008C2F68">
              <w:rPr>
                <w:bCs/>
                <w:szCs w:val="22"/>
                <w:lang w:eastAsia="zh-CN"/>
              </w:rPr>
              <w:t>)</w:t>
            </w:r>
          </w:p>
        </w:tc>
        <w:tc>
          <w:tcPr>
            <w:tcW w:w="1530" w:type="dxa"/>
          </w:tcPr>
          <w:p w:rsidR="004567BB" w:rsidRPr="008C2F68" w:rsidRDefault="00546150" w:rsidP="002425E2">
            <w:pPr>
              <w:pStyle w:val="BodyText"/>
              <w:tabs>
                <w:tab w:val="clear" w:pos="1080"/>
              </w:tabs>
              <w:spacing w:line="233" w:lineRule="auto"/>
              <w:jc w:val="center"/>
              <w:rPr>
                <w:bCs/>
                <w:iCs/>
                <w:szCs w:val="22"/>
                <w:lang w:eastAsia="zh-CN"/>
              </w:rPr>
            </w:pPr>
            <w:r w:rsidRPr="008C2F68">
              <w:rPr>
                <w:bCs/>
                <w:iCs/>
                <w:szCs w:val="22"/>
                <w:lang w:eastAsia="zh-CN"/>
              </w:rPr>
              <w:t>(</w:t>
            </w:r>
            <w:r w:rsidR="00DC04B4" w:rsidRPr="008C2F68">
              <w:rPr>
                <w:bCs/>
                <w:iCs/>
                <w:szCs w:val="22"/>
                <w:lang w:eastAsia="zh-CN"/>
              </w:rPr>
              <w:t>1</w:t>
            </w:r>
            <w:r w:rsidR="00CA3E58" w:rsidRPr="008C2F68">
              <w:rPr>
                <w:bCs/>
                <w:iCs/>
                <w:szCs w:val="22"/>
                <w:lang w:eastAsia="zh-CN"/>
              </w:rPr>
              <w:t>93</w:t>
            </w:r>
            <w:r w:rsidRPr="008C2F68">
              <w:rPr>
                <w:bCs/>
                <w:iCs/>
                <w:szCs w:val="22"/>
                <w:lang w:eastAsia="zh-CN"/>
              </w:rPr>
              <w:t>)</w:t>
            </w:r>
          </w:p>
          <w:p w:rsidR="00546150" w:rsidRPr="008C2F68" w:rsidRDefault="00546150" w:rsidP="002425E2">
            <w:pPr>
              <w:pStyle w:val="BodyText"/>
              <w:tabs>
                <w:tab w:val="clear" w:pos="1080"/>
              </w:tabs>
              <w:spacing w:line="233" w:lineRule="auto"/>
              <w:jc w:val="center"/>
              <w:rPr>
                <w:bCs/>
                <w:iCs/>
                <w:szCs w:val="22"/>
                <w:lang w:eastAsia="zh-CN"/>
              </w:rPr>
            </w:pPr>
          </w:p>
        </w:tc>
      </w:tr>
      <w:tr w:rsidR="004567BB" w:rsidRPr="008C2F68" w:rsidTr="00F06AC2">
        <w:tc>
          <w:tcPr>
            <w:tcW w:w="3798" w:type="dxa"/>
          </w:tcPr>
          <w:p w:rsidR="004567BB" w:rsidRPr="008C2F68" w:rsidRDefault="004567BB" w:rsidP="00C15F13">
            <w:pPr>
              <w:pStyle w:val="BodyText"/>
              <w:tabs>
                <w:tab w:val="clear" w:pos="1080"/>
              </w:tabs>
              <w:spacing w:line="233" w:lineRule="auto"/>
              <w:rPr>
                <w:iCs/>
                <w:szCs w:val="22"/>
                <w:lang w:eastAsia="zh-CN"/>
              </w:rPr>
            </w:pPr>
            <w:r w:rsidRPr="008C2F68">
              <w:rPr>
                <w:rFonts w:hint="eastAsia"/>
                <w:iCs/>
                <w:szCs w:val="22"/>
                <w:lang w:eastAsia="zh-CN"/>
              </w:rPr>
              <w:t>Other income</w:t>
            </w:r>
          </w:p>
          <w:p w:rsidR="004567BB" w:rsidRPr="008C2F68" w:rsidRDefault="004567BB" w:rsidP="00C15F13">
            <w:pPr>
              <w:pStyle w:val="BodyText"/>
              <w:tabs>
                <w:tab w:val="clear" w:pos="1080"/>
              </w:tabs>
              <w:spacing w:line="233" w:lineRule="auto"/>
              <w:rPr>
                <w:iCs/>
                <w:szCs w:val="22"/>
                <w:lang w:eastAsia="zh-CN"/>
              </w:rPr>
            </w:pPr>
          </w:p>
        </w:tc>
        <w:tc>
          <w:tcPr>
            <w:tcW w:w="1530" w:type="dxa"/>
          </w:tcPr>
          <w:p w:rsidR="004567BB" w:rsidRPr="008C2F68" w:rsidRDefault="007512A6" w:rsidP="007642BE">
            <w:pPr>
              <w:pStyle w:val="BodyText"/>
              <w:tabs>
                <w:tab w:val="clear" w:pos="1080"/>
              </w:tabs>
              <w:spacing w:line="233" w:lineRule="auto"/>
              <w:jc w:val="center"/>
              <w:rPr>
                <w:bCs/>
                <w:szCs w:val="22"/>
                <w:lang w:eastAsia="zh-CN"/>
              </w:rPr>
            </w:pPr>
            <w:r w:rsidRPr="008C2F68">
              <w:rPr>
                <w:bCs/>
                <w:szCs w:val="22"/>
                <w:lang w:eastAsia="zh-CN"/>
              </w:rPr>
              <w:t>(</w:t>
            </w:r>
            <w:r w:rsidR="007642BE" w:rsidRPr="008C2F68">
              <w:rPr>
                <w:bCs/>
                <w:szCs w:val="22"/>
                <w:lang w:eastAsia="zh-CN"/>
              </w:rPr>
              <w:t>27</w:t>
            </w:r>
            <w:r w:rsidR="00DC3467" w:rsidRPr="008C2F68">
              <w:rPr>
                <w:bCs/>
                <w:szCs w:val="22"/>
                <w:lang w:eastAsia="zh-CN"/>
              </w:rPr>
              <w:t>)</w:t>
            </w:r>
          </w:p>
        </w:tc>
        <w:tc>
          <w:tcPr>
            <w:tcW w:w="1350" w:type="dxa"/>
          </w:tcPr>
          <w:p w:rsidR="004567BB" w:rsidRPr="008C2F68" w:rsidRDefault="007D2129" w:rsidP="002425E2">
            <w:pPr>
              <w:pStyle w:val="BodyText"/>
              <w:tabs>
                <w:tab w:val="clear" w:pos="1080"/>
              </w:tabs>
              <w:spacing w:line="233" w:lineRule="auto"/>
              <w:jc w:val="center"/>
              <w:rPr>
                <w:bCs/>
                <w:iCs/>
                <w:szCs w:val="22"/>
                <w:lang w:eastAsia="zh-CN"/>
              </w:rPr>
            </w:pPr>
            <w:r w:rsidRPr="008C2F68">
              <w:rPr>
                <w:bCs/>
                <w:iCs/>
                <w:szCs w:val="22"/>
                <w:lang w:eastAsia="zh-CN"/>
              </w:rPr>
              <w:t>(67</w:t>
            </w:r>
            <w:r w:rsidR="00DC04B4" w:rsidRPr="008C2F68">
              <w:rPr>
                <w:bCs/>
                <w:iCs/>
                <w:szCs w:val="22"/>
                <w:lang w:eastAsia="zh-CN"/>
              </w:rPr>
              <w:t>)</w:t>
            </w:r>
          </w:p>
        </w:tc>
        <w:tc>
          <w:tcPr>
            <w:tcW w:w="1440" w:type="dxa"/>
          </w:tcPr>
          <w:p w:rsidR="004567BB" w:rsidRPr="008C2F68" w:rsidRDefault="004E7462" w:rsidP="007642BE">
            <w:pPr>
              <w:pStyle w:val="BodyText"/>
              <w:tabs>
                <w:tab w:val="clear" w:pos="1080"/>
              </w:tabs>
              <w:spacing w:line="233" w:lineRule="auto"/>
              <w:jc w:val="center"/>
              <w:rPr>
                <w:bCs/>
                <w:szCs w:val="22"/>
                <w:lang w:eastAsia="zh-CN"/>
              </w:rPr>
            </w:pPr>
            <w:r w:rsidRPr="008C2F68">
              <w:rPr>
                <w:bCs/>
                <w:szCs w:val="22"/>
                <w:lang w:eastAsia="zh-CN"/>
              </w:rPr>
              <w:t>(</w:t>
            </w:r>
            <w:r w:rsidR="007512A6" w:rsidRPr="008C2F68">
              <w:rPr>
                <w:bCs/>
                <w:szCs w:val="22"/>
                <w:lang w:eastAsia="zh-CN"/>
              </w:rPr>
              <w:t>1</w:t>
            </w:r>
            <w:r w:rsidR="007642BE" w:rsidRPr="008C2F68">
              <w:rPr>
                <w:bCs/>
                <w:szCs w:val="22"/>
                <w:lang w:eastAsia="zh-CN"/>
              </w:rPr>
              <w:t>35</w:t>
            </w:r>
            <w:r w:rsidR="00DC3467" w:rsidRPr="008C2F68">
              <w:rPr>
                <w:bCs/>
                <w:szCs w:val="22"/>
                <w:lang w:eastAsia="zh-CN"/>
              </w:rPr>
              <w:t>)</w:t>
            </w:r>
          </w:p>
        </w:tc>
        <w:tc>
          <w:tcPr>
            <w:tcW w:w="1530" w:type="dxa"/>
          </w:tcPr>
          <w:p w:rsidR="004567BB" w:rsidRPr="008C2F68" w:rsidRDefault="00DC04B4" w:rsidP="00CA3E58">
            <w:pPr>
              <w:pStyle w:val="BodyText"/>
              <w:tabs>
                <w:tab w:val="clear" w:pos="1080"/>
              </w:tabs>
              <w:spacing w:line="233" w:lineRule="auto"/>
              <w:jc w:val="center"/>
              <w:rPr>
                <w:bCs/>
                <w:iCs/>
                <w:szCs w:val="22"/>
                <w:lang w:eastAsia="zh-CN"/>
              </w:rPr>
            </w:pPr>
            <w:r w:rsidRPr="008C2F68">
              <w:rPr>
                <w:bCs/>
                <w:iCs/>
                <w:szCs w:val="22"/>
                <w:lang w:eastAsia="zh-CN"/>
              </w:rPr>
              <w:t>(6</w:t>
            </w:r>
            <w:r w:rsidR="00CA3E58" w:rsidRPr="008C2F68">
              <w:rPr>
                <w:bCs/>
                <w:iCs/>
                <w:szCs w:val="22"/>
                <w:lang w:eastAsia="zh-CN"/>
              </w:rPr>
              <w:t>5</w:t>
            </w:r>
            <w:r w:rsidR="00546150" w:rsidRPr="008C2F68">
              <w:rPr>
                <w:bCs/>
                <w:iCs/>
                <w:szCs w:val="22"/>
                <w:lang w:eastAsia="zh-CN"/>
              </w:rPr>
              <w:t>)</w:t>
            </w:r>
          </w:p>
        </w:tc>
      </w:tr>
      <w:tr w:rsidR="004567BB" w:rsidRPr="008C2F68" w:rsidTr="00F06AC2">
        <w:tc>
          <w:tcPr>
            <w:tcW w:w="3798" w:type="dxa"/>
          </w:tcPr>
          <w:p w:rsidR="004567BB" w:rsidRPr="008C2F68" w:rsidRDefault="004567BB" w:rsidP="00B01B7E">
            <w:pPr>
              <w:pStyle w:val="BodyText"/>
              <w:tabs>
                <w:tab w:val="clear" w:pos="1080"/>
              </w:tabs>
              <w:spacing w:line="233" w:lineRule="auto"/>
              <w:rPr>
                <w:iCs/>
                <w:szCs w:val="22"/>
                <w:lang w:eastAsia="zh-CN"/>
              </w:rPr>
            </w:pPr>
            <w:r w:rsidRPr="008C2F68">
              <w:rPr>
                <w:rFonts w:hint="eastAsia"/>
                <w:iCs/>
                <w:szCs w:val="22"/>
                <w:lang w:eastAsia="zh-CN"/>
              </w:rPr>
              <w:t>Interest expenses</w:t>
            </w:r>
          </w:p>
          <w:p w:rsidR="004567BB" w:rsidRPr="008C2F68" w:rsidRDefault="004567BB" w:rsidP="00B01B7E">
            <w:pPr>
              <w:pStyle w:val="BodyText"/>
              <w:tabs>
                <w:tab w:val="clear" w:pos="1080"/>
              </w:tabs>
              <w:spacing w:line="233" w:lineRule="auto"/>
              <w:rPr>
                <w:iCs/>
                <w:szCs w:val="22"/>
                <w:lang w:eastAsia="zh-CN"/>
              </w:rPr>
            </w:pPr>
          </w:p>
        </w:tc>
        <w:tc>
          <w:tcPr>
            <w:tcW w:w="1530" w:type="dxa"/>
          </w:tcPr>
          <w:p w:rsidR="004567BB" w:rsidRPr="008C2F68" w:rsidRDefault="007642BE" w:rsidP="008A6B21">
            <w:pPr>
              <w:pStyle w:val="BodyText"/>
              <w:tabs>
                <w:tab w:val="clear" w:pos="1080"/>
              </w:tabs>
              <w:spacing w:line="233" w:lineRule="auto"/>
              <w:jc w:val="center"/>
              <w:rPr>
                <w:bCs/>
                <w:szCs w:val="22"/>
                <w:lang w:eastAsia="zh-CN"/>
              </w:rPr>
            </w:pPr>
            <w:r w:rsidRPr="008C2F68">
              <w:rPr>
                <w:bCs/>
                <w:szCs w:val="22"/>
                <w:lang w:eastAsia="zh-CN"/>
              </w:rPr>
              <w:t>6</w:t>
            </w:r>
          </w:p>
        </w:tc>
        <w:tc>
          <w:tcPr>
            <w:tcW w:w="1350" w:type="dxa"/>
          </w:tcPr>
          <w:p w:rsidR="004567BB" w:rsidRPr="008C2F68" w:rsidRDefault="007D2129" w:rsidP="00FD0FB5">
            <w:pPr>
              <w:pStyle w:val="BodyText"/>
              <w:tabs>
                <w:tab w:val="clear" w:pos="1080"/>
              </w:tabs>
              <w:spacing w:line="233" w:lineRule="auto"/>
              <w:jc w:val="center"/>
              <w:rPr>
                <w:bCs/>
                <w:iCs/>
                <w:szCs w:val="22"/>
                <w:lang w:eastAsia="zh-CN"/>
              </w:rPr>
            </w:pPr>
            <w:r w:rsidRPr="008C2F68">
              <w:rPr>
                <w:bCs/>
                <w:iCs/>
                <w:szCs w:val="22"/>
                <w:lang w:eastAsia="zh-CN"/>
              </w:rPr>
              <w:t>2</w:t>
            </w:r>
          </w:p>
        </w:tc>
        <w:tc>
          <w:tcPr>
            <w:tcW w:w="1440" w:type="dxa"/>
          </w:tcPr>
          <w:p w:rsidR="004567BB" w:rsidRPr="008C2F68" w:rsidRDefault="007642BE" w:rsidP="00F82BA0">
            <w:pPr>
              <w:pStyle w:val="BodyText"/>
              <w:tabs>
                <w:tab w:val="clear" w:pos="1080"/>
              </w:tabs>
              <w:spacing w:line="233" w:lineRule="auto"/>
              <w:jc w:val="center"/>
              <w:rPr>
                <w:bCs/>
                <w:szCs w:val="22"/>
                <w:lang w:eastAsia="zh-CN"/>
              </w:rPr>
            </w:pPr>
            <w:r w:rsidRPr="008C2F68">
              <w:rPr>
                <w:bCs/>
                <w:szCs w:val="22"/>
                <w:lang w:eastAsia="zh-CN"/>
              </w:rPr>
              <w:t>24</w:t>
            </w:r>
          </w:p>
        </w:tc>
        <w:tc>
          <w:tcPr>
            <w:tcW w:w="1530" w:type="dxa"/>
          </w:tcPr>
          <w:p w:rsidR="004567BB" w:rsidRPr="008C2F68" w:rsidRDefault="00CA3E58" w:rsidP="00F82BA0">
            <w:pPr>
              <w:pStyle w:val="BodyText"/>
              <w:tabs>
                <w:tab w:val="clear" w:pos="1080"/>
              </w:tabs>
              <w:spacing w:line="233" w:lineRule="auto"/>
              <w:jc w:val="center"/>
              <w:rPr>
                <w:bCs/>
                <w:iCs/>
                <w:szCs w:val="22"/>
                <w:lang w:eastAsia="zh-CN"/>
              </w:rPr>
            </w:pPr>
            <w:r w:rsidRPr="008C2F68">
              <w:rPr>
                <w:bCs/>
                <w:iCs/>
                <w:szCs w:val="22"/>
                <w:lang w:eastAsia="zh-CN"/>
              </w:rPr>
              <w:t>60</w:t>
            </w:r>
          </w:p>
        </w:tc>
      </w:tr>
      <w:tr w:rsidR="007512A6" w:rsidRPr="008C2F68" w:rsidTr="007512A6">
        <w:trPr>
          <w:trHeight w:val="371"/>
        </w:trPr>
        <w:tc>
          <w:tcPr>
            <w:tcW w:w="3798" w:type="dxa"/>
          </w:tcPr>
          <w:p w:rsidR="007512A6" w:rsidRPr="008C2F68" w:rsidRDefault="007512A6" w:rsidP="00C32FCD">
            <w:pPr>
              <w:pStyle w:val="BodyText"/>
              <w:tabs>
                <w:tab w:val="clear" w:pos="1080"/>
              </w:tabs>
              <w:spacing w:line="233" w:lineRule="auto"/>
              <w:ind w:left="180" w:hanging="180"/>
              <w:rPr>
                <w:iCs/>
                <w:szCs w:val="22"/>
                <w:lang w:eastAsia="zh-CN"/>
              </w:rPr>
            </w:pPr>
            <w:r w:rsidRPr="008C2F68">
              <w:rPr>
                <w:iCs/>
                <w:szCs w:val="22"/>
                <w:lang w:eastAsia="zh-CN"/>
              </w:rPr>
              <w:t>P</w:t>
            </w:r>
            <w:r w:rsidR="00C74E57" w:rsidRPr="008C2F68">
              <w:rPr>
                <w:iCs/>
                <w:szCs w:val="22"/>
                <w:lang w:eastAsia="zh-CN"/>
              </w:rPr>
              <w:t>roperty, plant and equipment</w:t>
            </w:r>
            <w:r w:rsidRPr="008C2F68">
              <w:rPr>
                <w:iCs/>
                <w:szCs w:val="22"/>
                <w:lang w:eastAsia="zh-CN"/>
              </w:rPr>
              <w:t xml:space="preserve"> written off</w:t>
            </w:r>
          </w:p>
        </w:tc>
        <w:tc>
          <w:tcPr>
            <w:tcW w:w="1530" w:type="dxa"/>
          </w:tcPr>
          <w:p w:rsidR="007512A6" w:rsidRPr="008C2F68" w:rsidRDefault="007642BE" w:rsidP="007512A6">
            <w:pPr>
              <w:pStyle w:val="BodyText"/>
              <w:tabs>
                <w:tab w:val="clear" w:pos="1080"/>
              </w:tabs>
              <w:spacing w:line="233" w:lineRule="auto"/>
              <w:jc w:val="center"/>
              <w:rPr>
                <w:bCs/>
                <w:szCs w:val="22"/>
                <w:lang w:eastAsia="zh-CN"/>
              </w:rPr>
            </w:pPr>
            <w:r w:rsidRPr="008C2F68">
              <w:rPr>
                <w:bCs/>
                <w:szCs w:val="22"/>
                <w:lang w:eastAsia="zh-CN"/>
              </w:rPr>
              <w:t>-</w:t>
            </w:r>
          </w:p>
        </w:tc>
        <w:tc>
          <w:tcPr>
            <w:tcW w:w="1350" w:type="dxa"/>
          </w:tcPr>
          <w:p w:rsidR="007512A6" w:rsidRPr="008C2F68" w:rsidRDefault="007512A6" w:rsidP="00FD0FB5">
            <w:pPr>
              <w:pStyle w:val="BodyText"/>
              <w:tabs>
                <w:tab w:val="clear" w:pos="1080"/>
              </w:tabs>
              <w:spacing w:line="233" w:lineRule="auto"/>
              <w:jc w:val="center"/>
              <w:rPr>
                <w:bCs/>
                <w:iCs/>
                <w:szCs w:val="22"/>
                <w:lang w:eastAsia="zh-CN"/>
              </w:rPr>
            </w:pPr>
            <w:r w:rsidRPr="008C2F68">
              <w:rPr>
                <w:bCs/>
                <w:iCs/>
                <w:szCs w:val="22"/>
                <w:lang w:eastAsia="zh-CN"/>
              </w:rPr>
              <w:t>-</w:t>
            </w:r>
          </w:p>
        </w:tc>
        <w:tc>
          <w:tcPr>
            <w:tcW w:w="1440" w:type="dxa"/>
          </w:tcPr>
          <w:p w:rsidR="007512A6" w:rsidRPr="008C2F68" w:rsidRDefault="007512A6" w:rsidP="00F82BA0">
            <w:pPr>
              <w:pStyle w:val="BodyText"/>
              <w:tabs>
                <w:tab w:val="clear" w:pos="1080"/>
              </w:tabs>
              <w:spacing w:line="233" w:lineRule="auto"/>
              <w:jc w:val="center"/>
              <w:rPr>
                <w:bCs/>
                <w:szCs w:val="22"/>
                <w:lang w:eastAsia="zh-CN"/>
              </w:rPr>
            </w:pPr>
            <w:r w:rsidRPr="008C2F68">
              <w:rPr>
                <w:bCs/>
                <w:szCs w:val="22"/>
                <w:lang w:eastAsia="zh-CN"/>
              </w:rPr>
              <w:t>17</w:t>
            </w:r>
          </w:p>
        </w:tc>
        <w:tc>
          <w:tcPr>
            <w:tcW w:w="1530" w:type="dxa"/>
          </w:tcPr>
          <w:p w:rsidR="007512A6" w:rsidRPr="008C2F68" w:rsidRDefault="007512A6" w:rsidP="00F82BA0">
            <w:pPr>
              <w:pStyle w:val="BodyText"/>
              <w:tabs>
                <w:tab w:val="clear" w:pos="1080"/>
              </w:tabs>
              <w:spacing w:line="233" w:lineRule="auto"/>
              <w:jc w:val="center"/>
              <w:rPr>
                <w:bCs/>
                <w:iCs/>
                <w:szCs w:val="22"/>
                <w:lang w:eastAsia="zh-CN"/>
              </w:rPr>
            </w:pPr>
            <w:r w:rsidRPr="008C2F68">
              <w:rPr>
                <w:bCs/>
                <w:iCs/>
                <w:szCs w:val="22"/>
                <w:lang w:eastAsia="zh-CN"/>
              </w:rPr>
              <w:t>-</w:t>
            </w:r>
          </w:p>
        </w:tc>
      </w:tr>
      <w:tr w:rsidR="006034A9" w:rsidRPr="008C2F68" w:rsidTr="00F06AC2">
        <w:tc>
          <w:tcPr>
            <w:tcW w:w="3798" w:type="dxa"/>
          </w:tcPr>
          <w:p w:rsidR="006034A9" w:rsidRPr="008C2F68" w:rsidRDefault="006034A9" w:rsidP="00651B9C">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w:t>
            </w:r>
            <w:r w:rsidR="00651B9C" w:rsidRPr="008C2F68">
              <w:rPr>
                <w:iCs/>
                <w:szCs w:val="22"/>
                <w:lang w:eastAsia="zh-CN"/>
              </w:rPr>
              <w:t>an associate previously written off</w:t>
            </w:r>
          </w:p>
        </w:tc>
        <w:tc>
          <w:tcPr>
            <w:tcW w:w="1530" w:type="dxa"/>
          </w:tcPr>
          <w:p w:rsidR="006034A9" w:rsidRPr="008C2F68" w:rsidRDefault="007512A6" w:rsidP="007512A6">
            <w:pPr>
              <w:pStyle w:val="BodyText"/>
              <w:tabs>
                <w:tab w:val="clear" w:pos="1080"/>
              </w:tabs>
              <w:spacing w:line="233" w:lineRule="auto"/>
              <w:jc w:val="center"/>
              <w:rPr>
                <w:bCs/>
                <w:szCs w:val="22"/>
                <w:lang w:eastAsia="zh-CN"/>
              </w:rPr>
            </w:pPr>
            <w:r w:rsidRPr="008C2F68">
              <w:rPr>
                <w:bCs/>
                <w:szCs w:val="22"/>
                <w:lang w:eastAsia="zh-CN"/>
              </w:rPr>
              <w:t>-</w:t>
            </w:r>
          </w:p>
        </w:tc>
        <w:tc>
          <w:tcPr>
            <w:tcW w:w="1350" w:type="dxa"/>
          </w:tcPr>
          <w:p w:rsidR="006034A9" w:rsidRPr="008C2F68" w:rsidRDefault="00DC04B4" w:rsidP="00FD0FB5">
            <w:pPr>
              <w:pStyle w:val="BodyText"/>
              <w:tabs>
                <w:tab w:val="clear" w:pos="1080"/>
              </w:tabs>
              <w:spacing w:line="233" w:lineRule="auto"/>
              <w:jc w:val="center"/>
              <w:rPr>
                <w:bCs/>
                <w:iCs/>
                <w:szCs w:val="22"/>
                <w:lang w:eastAsia="zh-CN"/>
              </w:rPr>
            </w:pPr>
            <w:r w:rsidRPr="008C2F68">
              <w:rPr>
                <w:bCs/>
                <w:iCs/>
                <w:szCs w:val="22"/>
                <w:lang w:eastAsia="zh-CN"/>
              </w:rPr>
              <w:t>-</w:t>
            </w:r>
          </w:p>
        </w:tc>
        <w:tc>
          <w:tcPr>
            <w:tcW w:w="1440" w:type="dxa"/>
          </w:tcPr>
          <w:p w:rsidR="006034A9" w:rsidRPr="008C2F68" w:rsidRDefault="006034A9" w:rsidP="00F82BA0">
            <w:pPr>
              <w:pStyle w:val="BodyText"/>
              <w:tabs>
                <w:tab w:val="clear" w:pos="1080"/>
              </w:tabs>
              <w:spacing w:line="233" w:lineRule="auto"/>
              <w:jc w:val="center"/>
              <w:rPr>
                <w:bCs/>
                <w:szCs w:val="22"/>
                <w:lang w:eastAsia="zh-CN"/>
              </w:rPr>
            </w:pPr>
            <w:r w:rsidRPr="008C2F68">
              <w:rPr>
                <w:rFonts w:hint="eastAsia"/>
                <w:bCs/>
                <w:szCs w:val="22"/>
                <w:lang w:eastAsia="zh-CN"/>
              </w:rPr>
              <w:t>(300)</w:t>
            </w:r>
          </w:p>
        </w:tc>
        <w:tc>
          <w:tcPr>
            <w:tcW w:w="1530" w:type="dxa"/>
          </w:tcPr>
          <w:p w:rsidR="006034A9" w:rsidRPr="008C2F68" w:rsidRDefault="006034A9" w:rsidP="00F82BA0">
            <w:pPr>
              <w:pStyle w:val="BodyText"/>
              <w:tabs>
                <w:tab w:val="clear" w:pos="1080"/>
              </w:tabs>
              <w:spacing w:line="233" w:lineRule="auto"/>
              <w:jc w:val="center"/>
              <w:rPr>
                <w:bCs/>
                <w:iCs/>
                <w:szCs w:val="22"/>
                <w:lang w:eastAsia="zh-CN"/>
              </w:rPr>
            </w:pPr>
            <w:r w:rsidRPr="008C2F68">
              <w:rPr>
                <w:rFonts w:hint="eastAsia"/>
                <w:bCs/>
                <w:iCs/>
                <w:szCs w:val="22"/>
                <w:lang w:eastAsia="zh-CN"/>
              </w:rPr>
              <w:t>-</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Pr="008C2F68">
        <w:rPr>
          <w:rFonts w:hint="eastAsia"/>
          <w:szCs w:val="22"/>
          <w:lang w:eastAsia="zh-CN"/>
        </w:rPr>
        <w:t>Appendix 9B of the</w:t>
      </w:r>
      <w:r w:rsidR="00C52906" w:rsidRPr="008C2F68">
        <w:rPr>
          <w:szCs w:val="22"/>
          <w:lang w:eastAsia="zh-CN"/>
        </w:rPr>
        <w:t xml:space="preserve"> ACE 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455492" w:rsidRPr="008C2F68" w:rsidRDefault="00455492">
      <w:pPr>
        <w:tabs>
          <w:tab w:val="clear" w:pos="720"/>
          <w:tab w:val="clear" w:pos="1440"/>
        </w:tabs>
        <w:rPr>
          <w:szCs w:val="22"/>
          <w:lang w:eastAsia="zh-CN"/>
        </w:rPr>
      </w:pPr>
      <w:r w:rsidRPr="008C2F68">
        <w:rPr>
          <w:szCs w:val="22"/>
          <w:lang w:eastAsia="zh-CN"/>
        </w:rPr>
        <w:br w:type="page"/>
      </w:r>
    </w:p>
    <w:p w:rsidR="007B1D3B" w:rsidRPr="008C2F68" w:rsidRDefault="007B1D3B" w:rsidP="00454B1A">
      <w:pPr>
        <w:ind w:left="700"/>
        <w:jc w:val="both"/>
        <w:rPr>
          <w:szCs w:val="22"/>
          <w:lang w:eastAsia="zh-CN"/>
        </w:rPr>
      </w:pPr>
    </w:p>
    <w:p w:rsidR="00541004" w:rsidRPr="008C2F68" w:rsidRDefault="00A154BF" w:rsidP="006353D4">
      <w:pPr>
        <w:jc w:val="both"/>
        <w:rPr>
          <w:b/>
          <w:bCs/>
          <w:szCs w:val="22"/>
        </w:rPr>
      </w:pPr>
      <w:r w:rsidRPr="008C2F68">
        <w:rPr>
          <w:b/>
          <w:bCs/>
          <w:szCs w:val="22"/>
        </w:rPr>
        <w:t>2</w:t>
      </w:r>
      <w:r w:rsidR="00E53573" w:rsidRPr="008C2F68">
        <w:rPr>
          <w:b/>
          <w:bCs/>
          <w:szCs w:val="22"/>
          <w:lang w:eastAsia="zh-CN"/>
        </w:rPr>
        <w:t>6</w:t>
      </w:r>
      <w:r w:rsidR="00541004" w:rsidRPr="008C2F68">
        <w:rPr>
          <w:b/>
          <w:bCs/>
          <w:szCs w:val="22"/>
        </w:rPr>
        <w:t>.</w:t>
      </w:r>
      <w:r w:rsidR="00541004" w:rsidRPr="008C2F68">
        <w:rPr>
          <w:b/>
          <w:bCs/>
          <w:szCs w:val="22"/>
        </w:rPr>
        <w:tab/>
        <w:t>Earnings Per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E341EB" w:rsidRPr="008C2F68">
        <w:rPr>
          <w:szCs w:val="22"/>
        </w:rPr>
        <w:t>nine</w:t>
      </w:r>
      <w:r w:rsidRPr="008C2F68">
        <w:rPr>
          <w:szCs w:val="22"/>
        </w:rPr>
        <w:t xml:space="preserve"> (</w:t>
      </w:r>
      <w:r w:rsidR="00E341EB" w:rsidRPr="008C2F68">
        <w:rPr>
          <w:szCs w:val="22"/>
        </w:rPr>
        <w:t>9</w:t>
      </w:r>
      <w:r w:rsidRPr="008C2F68">
        <w:rPr>
          <w:szCs w:val="22"/>
        </w:rPr>
        <w:t xml:space="preserve">) months financial period, divided by the weighted average number of ordinary shares of RM0.10 each in issue during the current financial quarter and the </w:t>
      </w:r>
      <w:r w:rsidR="00E341EB" w:rsidRPr="008C2F68">
        <w:rPr>
          <w:szCs w:val="22"/>
        </w:rPr>
        <w:t>nine</w:t>
      </w:r>
      <w:r w:rsidRPr="008C2F68">
        <w:rPr>
          <w:szCs w:val="22"/>
        </w:rPr>
        <w:t xml:space="preserve"> (</w:t>
      </w:r>
      <w:r w:rsidR="00E341EB" w:rsidRPr="008C2F68">
        <w:rPr>
          <w:szCs w:val="22"/>
        </w:rPr>
        <w:t>9</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8C2F68">
        <w:tc>
          <w:tcPr>
            <w:tcW w:w="2988" w:type="dxa"/>
            <w:tcBorders>
              <w:top w:val="single" w:sz="4" w:space="0" w:color="auto"/>
              <w:lef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8C2F68" w:rsidRDefault="007613BC" w:rsidP="00663458">
            <w:pPr>
              <w:pStyle w:val="BodyText"/>
              <w:tabs>
                <w:tab w:val="clear" w:pos="1080"/>
              </w:tabs>
              <w:spacing w:line="233" w:lineRule="auto"/>
              <w:jc w:val="center"/>
              <w:rPr>
                <w:b/>
                <w:bCs/>
                <w:iCs/>
                <w:szCs w:val="22"/>
              </w:rPr>
            </w:pPr>
            <w:r w:rsidRPr="008C2F68">
              <w:rPr>
                <w:b/>
                <w:bCs/>
                <w:szCs w:val="22"/>
                <w:lang w:eastAsia="zh-CN"/>
              </w:rPr>
              <w:t>3rd</w:t>
            </w:r>
            <w:r w:rsidR="00BF6FE5" w:rsidRPr="008C2F68">
              <w:rPr>
                <w:b/>
                <w:bCs/>
                <w:szCs w:val="22"/>
                <w:lang w:eastAsia="zh-CN"/>
              </w:rPr>
              <w:t xml:space="preserve"> </w:t>
            </w:r>
            <w:r w:rsidR="00BF6FE5" w:rsidRPr="008C2F68">
              <w:rPr>
                <w:b/>
                <w:bCs/>
                <w:szCs w:val="22"/>
              </w:rPr>
              <w:t>Quarter Ended</w:t>
            </w:r>
          </w:p>
        </w:tc>
        <w:tc>
          <w:tcPr>
            <w:tcW w:w="270" w:type="dxa"/>
            <w:tcBorders>
              <w:top w:val="single" w:sz="4" w:space="0" w:color="auto"/>
              <w:left w:val="single" w:sz="4" w:space="0" w:color="auto"/>
              <w:bottom w:val="single" w:sz="4" w:space="0" w:color="auto"/>
            </w:tcBorders>
          </w:tcPr>
          <w:p w:rsidR="00BF6FE5" w:rsidRPr="008C2F68"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8C2F68" w:rsidRDefault="007D2129" w:rsidP="00663458">
            <w:pPr>
              <w:pStyle w:val="BodyText"/>
              <w:tabs>
                <w:tab w:val="clear" w:pos="1080"/>
              </w:tabs>
              <w:spacing w:line="233" w:lineRule="auto"/>
              <w:jc w:val="center"/>
              <w:rPr>
                <w:b/>
                <w:bCs/>
                <w:iCs/>
                <w:szCs w:val="22"/>
              </w:rPr>
            </w:pPr>
            <w:r w:rsidRPr="008C2F68">
              <w:rPr>
                <w:b/>
                <w:bCs/>
                <w:szCs w:val="22"/>
                <w:lang w:eastAsia="zh-CN"/>
              </w:rPr>
              <w:t>9</w:t>
            </w:r>
            <w:r w:rsidR="00BF6FE5" w:rsidRPr="008C2F68">
              <w:rPr>
                <w:b/>
                <w:bCs/>
                <w:szCs w:val="22"/>
                <w:lang w:eastAsia="zh-CN"/>
              </w:rPr>
              <w:t xml:space="preserve"> Months</w:t>
            </w:r>
            <w:r w:rsidR="00BF6FE5" w:rsidRPr="008C2F68">
              <w:rPr>
                <w:b/>
                <w:bCs/>
                <w:szCs w:val="22"/>
              </w:rPr>
              <w:t xml:space="preserve"> Ended</w:t>
            </w:r>
          </w:p>
        </w:tc>
      </w:tr>
      <w:tr w:rsidR="00F969C3" w:rsidRPr="008C2F68">
        <w:tc>
          <w:tcPr>
            <w:tcW w:w="2988" w:type="dxa"/>
            <w:tcBorders>
              <w:left w:val="single" w:sz="4" w:space="0" w:color="auto"/>
            </w:tcBorders>
          </w:tcPr>
          <w:p w:rsidR="00F969C3" w:rsidRPr="008C2F68" w:rsidRDefault="00F969C3" w:rsidP="009004A3">
            <w:pPr>
              <w:pStyle w:val="BodyText"/>
              <w:tabs>
                <w:tab w:val="clear" w:pos="1080"/>
              </w:tabs>
              <w:spacing w:line="233" w:lineRule="auto"/>
              <w:rPr>
                <w:i/>
                <w:iCs/>
                <w:szCs w:val="22"/>
              </w:rPr>
            </w:pPr>
          </w:p>
        </w:tc>
        <w:tc>
          <w:tcPr>
            <w:tcW w:w="270" w:type="dxa"/>
            <w:tcBorders>
              <w:right w:val="single" w:sz="4" w:space="0" w:color="auto"/>
            </w:tcBorders>
          </w:tcPr>
          <w:p w:rsidR="00F969C3" w:rsidRPr="008C2F68" w:rsidRDefault="00F969C3"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969C3" w:rsidRPr="008C2F68" w:rsidRDefault="00E83A66" w:rsidP="00310B48">
            <w:pPr>
              <w:pStyle w:val="BodyText"/>
              <w:tabs>
                <w:tab w:val="clear" w:pos="1080"/>
              </w:tabs>
              <w:spacing w:line="233" w:lineRule="auto"/>
              <w:jc w:val="center"/>
              <w:rPr>
                <w:b/>
                <w:bCs/>
                <w:szCs w:val="22"/>
                <w:lang w:eastAsia="zh-CN"/>
              </w:rPr>
            </w:pPr>
            <w:r w:rsidRPr="008C2F68">
              <w:rPr>
                <w:b/>
                <w:bCs/>
                <w:szCs w:val="22"/>
              </w:rPr>
              <w:t>30</w:t>
            </w:r>
            <w:r w:rsidR="0015293D" w:rsidRPr="008C2F68">
              <w:rPr>
                <w:b/>
                <w:bCs/>
                <w:szCs w:val="22"/>
              </w:rPr>
              <w:t>.0</w:t>
            </w:r>
            <w:r w:rsidR="00310B48" w:rsidRPr="008C2F68">
              <w:rPr>
                <w:b/>
                <w:bCs/>
                <w:szCs w:val="22"/>
              </w:rPr>
              <w:t>9</w:t>
            </w:r>
            <w:r w:rsidR="0015293D" w:rsidRPr="008C2F68">
              <w:rPr>
                <w:b/>
                <w:bCs/>
                <w:szCs w:val="22"/>
              </w:rPr>
              <w:t>.2013</w:t>
            </w:r>
          </w:p>
        </w:tc>
        <w:tc>
          <w:tcPr>
            <w:tcW w:w="1620" w:type="dxa"/>
            <w:tcBorders>
              <w:top w:val="single" w:sz="4" w:space="0" w:color="auto"/>
              <w:left w:val="single" w:sz="4" w:space="0" w:color="auto"/>
              <w:right w:val="single" w:sz="4" w:space="0" w:color="auto"/>
            </w:tcBorders>
          </w:tcPr>
          <w:p w:rsidR="00F969C3" w:rsidRPr="008C2F68" w:rsidRDefault="0015293D" w:rsidP="007613BC">
            <w:pPr>
              <w:pStyle w:val="BodyText"/>
              <w:tabs>
                <w:tab w:val="clear" w:pos="1080"/>
              </w:tabs>
              <w:spacing w:line="233" w:lineRule="auto"/>
              <w:jc w:val="center"/>
              <w:rPr>
                <w:b/>
                <w:bCs/>
                <w:iCs/>
                <w:szCs w:val="22"/>
                <w:lang w:eastAsia="zh-CN"/>
              </w:rPr>
            </w:pPr>
            <w:r w:rsidRPr="008C2F68">
              <w:rPr>
                <w:b/>
                <w:bCs/>
                <w:iCs/>
                <w:szCs w:val="22"/>
                <w:lang w:eastAsia="zh-CN"/>
              </w:rPr>
              <w:t>3</w:t>
            </w:r>
            <w:r w:rsidR="00DC04B4" w:rsidRPr="008C2F68">
              <w:rPr>
                <w:b/>
                <w:bCs/>
                <w:iCs/>
                <w:szCs w:val="22"/>
                <w:lang w:eastAsia="zh-CN"/>
              </w:rPr>
              <w:t>0</w:t>
            </w:r>
            <w:r w:rsidRPr="008C2F68">
              <w:rPr>
                <w:b/>
                <w:bCs/>
                <w:iCs/>
                <w:szCs w:val="22"/>
                <w:lang w:eastAsia="zh-CN"/>
              </w:rPr>
              <w:t>.0</w:t>
            </w:r>
            <w:r w:rsidR="007613BC" w:rsidRPr="008C2F68">
              <w:rPr>
                <w:b/>
                <w:bCs/>
                <w:iCs/>
                <w:szCs w:val="22"/>
                <w:lang w:eastAsia="zh-CN"/>
              </w:rPr>
              <w:t>9</w:t>
            </w:r>
            <w:r w:rsidRPr="008C2F68">
              <w:rPr>
                <w:b/>
                <w:bCs/>
                <w:iCs/>
                <w:szCs w:val="22"/>
                <w:lang w:eastAsia="zh-CN"/>
              </w:rPr>
              <w:t>.2012</w:t>
            </w:r>
          </w:p>
        </w:tc>
        <w:tc>
          <w:tcPr>
            <w:tcW w:w="270" w:type="dxa"/>
            <w:tcBorders>
              <w:top w:val="single" w:sz="4" w:space="0" w:color="auto"/>
              <w:left w:val="single" w:sz="4" w:space="0" w:color="auto"/>
            </w:tcBorders>
          </w:tcPr>
          <w:p w:rsidR="00F969C3" w:rsidRPr="008C2F68" w:rsidRDefault="00F969C3"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F969C3" w:rsidRPr="008C2F68" w:rsidRDefault="0015293D" w:rsidP="00310B48">
            <w:pPr>
              <w:pStyle w:val="BodyText"/>
              <w:tabs>
                <w:tab w:val="clear" w:pos="1080"/>
              </w:tabs>
              <w:spacing w:line="233" w:lineRule="auto"/>
              <w:jc w:val="center"/>
              <w:rPr>
                <w:b/>
                <w:bCs/>
                <w:szCs w:val="22"/>
                <w:lang w:eastAsia="zh-CN"/>
              </w:rPr>
            </w:pPr>
            <w:r w:rsidRPr="008C2F68">
              <w:rPr>
                <w:b/>
                <w:bCs/>
                <w:szCs w:val="22"/>
              </w:rPr>
              <w:t>3</w:t>
            </w:r>
            <w:r w:rsidR="00E83A66" w:rsidRPr="008C2F68">
              <w:rPr>
                <w:b/>
                <w:bCs/>
                <w:szCs w:val="22"/>
              </w:rPr>
              <w:t>0</w:t>
            </w:r>
            <w:r w:rsidRPr="008C2F68">
              <w:rPr>
                <w:b/>
                <w:bCs/>
                <w:szCs w:val="22"/>
              </w:rPr>
              <w:t>.0</w:t>
            </w:r>
            <w:r w:rsidR="00310B48" w:rsidRPr="008C2F68">
              <w:rPr>
                <w:b/>
                <w:bCs/>
                <w:szCs w:val="22"/>
              </w:rPr>
              <w:t>9</w:t>
            </w:r>
            <w:r w:rsidRPr="008C2F68">
              <w:rPr>
                <w:b/>
                <w:bCs/>
                <w:szCs w:val="22"/>
              </w:rPr>
              <w:t>.2013</w:t>
            </w:r>
          </w:p>
        </w:tc>
        <w:tc>
          <w:tcPr>
            <w:tcW w:w="1663" w:type="dxa"/>
            <w:tcBorders>
              <w:top w:val="single" w:sz="4" w:space="0" w:color="auto"/>
              <w:left w:val="single" w:sz="4" w:space="0" w:color="auto"/>
              <w:right w:val="single" w:sz="4" w:space="0" w:color="auto"/>
            </w:tcBorders>
          </w:tcPr>
          <w:p w:rsidR="00F969C3" w:rsidRPr="008C2F68" w:rsidRDefault="0015293D" w:rsidP="007D2129">
            <w:pPr>
              <w:pStyle w:val="BodyText"/>
              <w:tabs>
                <w:tab w:val="clear" w:pos="1080"/>
              </w:tabs>
              <w:spacing w:line="233" w:lineRule="auto"/>
              <w:jc w:val="center"/>
              <w:rPr>
                <w:b/>
                <w:bCs/>
                <w:iCs/>
                <w:szCs w:val="22"/>
                <w:lang w:eastAsia="zh-CN"/>
              </w:rPr>
            </w:pPr>
            <w:r w:rsidRPr="008C2F68">
              <w:rPr>
                <w:b/>
                <w:bCs/>
                <w:iCs/>
                <w:szCs w:val="22"/>
                <w:lang w:eastAsia="zh-CN"/>
              </w:rPr>
              <w:t>3</w:t>
            </w:r>
            <w:r w:rsidR="00DC04B4" w:rsidRPr="008C2F68">
              <w:rPr>
                <w:b/>
                <w:bCs/>
                <w:iCs/>
                <w:szCs w:val="22"/>
                <w:lang w:eastAsia="zh-CN"/>
              </w:rPr>
              <w:t>0</w:t>
            </w:r>
            <w:r w:rsidRPr="008C2F68">
              <w:rPr>
                <w:b/>
                <w:bCs/>
                <w:iCs/>
                <w:szCs w:val="22"/>
                <w:lang w:eastAsia="zh-CN"/>
              </w:rPr>
              <w:t>.0</w:t>
            </w:r>
            <w:r w:rsidR="007D2129" w:rsidRPr="008C2F68">
              <w:rPr>
                <w:b/>
                <w:bCs/>
                <w:iCs/>
                <w:szCs w:val="22"/>
                <w:lang w:eastAsia="zh-CN"/>
              </w:rPr>
              <w:t>9</w:t>
            </w:r>
            <w:r w:rsidRPr="008C2F68">
              <w:rPr>
                <w:b/>
                <w:bCs/>
                <w:iCs/>
                <w:szCs w:val="22"/>
                <w:lang w:eastAsia="zh-CN"/>
              </w:rPr>
              <w:t>.2012</w:t>
            </w:r>
          </w:p>
        </w:tc>
      </w:tr>
      <w:tr w:rsidR="006B4997" w:rsidRPr="008C2F68">
        <w:tc>
          <w:tcPr>
            <w:tcW w:w="2988" w:type="dxa"/>
            <w:tcBorders>
              <w:top w:val="single" w:sz="4" w:space="0" w:color="auto"/>
              <w:left w:val="single" w:sz="4" w:space="0" w:color="auto"/>
            </w:tcBorders>
          </w:tcPr>
          <w:p w:rsidR="006B4997" w:rsidRPr="008C2F68" w:rsidRDefault="006B4997" w:rsidP="0007072D">
            <w:pPr>
              <w:pStyle w:val="BodyText"/>
              <w:tabs>
                <w:tab w:val="clear" w:pos="1080"/>
              </w:tabs>
              <w:spacing w:line="233" w:lineRule="auto"/>
              <w:rPr>
                <w:i/>
                <w:iCs/>
                <w:szCs w:val="22"/>
              </w:rPr>
            </w:pPr>
            <w:r w:rsidRPr="008C2F68">
              <w:rPr>
                <w:szCs w:val="22"/>
              </w:rPr>
              <w:t>Net profit for the period attributable to owners of the parent (RM’000)</w:t>
            </w:r>
          </w:p>
        </w:tc>
        <w:tc>
          <w:tcPr>
            <w:tcW w:w="270" w:type="dxa"/>
            <w:tcBorders>
              <w:top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lang w:eastAsia="zh-CN"/>
              </w:rPr>
            </w:pPr>
          </w:p>
          <w:p w:rsidR="006B4997" w:rsidRPr="008C2F68" w:rsidRDefault="006B4997" w:rsidP="009004A3">
            <w:pPr>
              <w:pStyle w:val="BodyText"/>
              <w:tabs>
                <w:tab w:val="clear" w:pos="1080"/>
              </w:tabs>
              <w:spacing w:line="233" w:lineRule="auto"/>
              <w:jc w:val="right"/>
              <w:rPr>
                <w:szCs w:val="22"/>
                <w:lang w:eastAsia="zh-CN"/>
              </w:rPr>
            </w:pPr>
          </w:p>
          <w:p w:rsidR="006B4997" w:rsidRPr="008C2F68" w:rsidRDefault="00310B48" w:rsidP="00DE3665">
            <w:pPr>
              <w:pStyle w:val="BodyText"/>
              <w:tabs>
                <w:tab w:val="clear" w:pos="1080"/>
              </w:tabs>
              <w:spacing w:line="233" w:lineRule="auto"/>
              <w:jc w:val="right"/>
              <w:rPr>
                <w:szCs w:val="22"/>
                <w:lang w:eastAsia="zh-CN"/>
              </w:rPr>
            </w:pPr>
            <w:r w:rsidRPr="008C2F68">
              <w:rPr>
                <w:szCs w:val="22"/>
                <w:lang w:eastAsia="zh-CN"/>
              </w:rPr>
              <w:t>2,087</w:t>
            </w:r>
          </w:p>
        </w:tc>
        <w:tc>
          <w:tcPr>
            <w:tcW w:w="1620" w:type="dxa"/>
            <w:tcBorders>
              <w:top w:val="single" w:sz="4" w:space="0" w:color="auto"/>
              <w:left w:val="single" w:sz="4" w:space="0" w:color="auto"/>
              <w:right w:val="single" w:sz="4" w:space="0" w:color="auto"/>
            </w:tcBorders>
          </w:tcPr>
          <w:p w:rsidR="0015293D" w:rsidRPr="008C2F68" w:rsidRDefault="0015293D" w:rsidP="00425D5E">
            <w:pPr>
              <w:pStyle w:val="BodyText"/>
              <w:tabs>
                <w:tab w:val="clear" w:pos="1080"/>
              </w:tabs>
              <w:spacing w:line="233" w:lineRule="auto"/>
              <w:jc w:val="right"/>
              <w:rPr>
                <w:szCs w:val="22"/>
                <w:lang w:eastAsia="zh-CN"/>
              </w:rPr>
            </w:pPr>
          </w:p>
          <w:p w:rsidR="0015293D" w:rsidRPr="008C2F68" w:rsidRDefault="0015293D" w:rsidP="00425D5E">
            <w:pPr>
              <w:pStyle w:val="BodyText"/>
              <w:tabs>
                <w:tab w:val="clear" w:pos="1080"/>
              </w:tabs>
              <w:spacing w:line="233" w:lineRule="auto"/>
              <w:jc w:val="right"/>
              <w:rPr>
                <w:szCs w:val="22"/>
                <w:lang w:eastAsia="zh-CN"/>
              </w:rPr>
            </w:pPr>
          </w:p>
          <w:p w:rsidR="006B4997" w:rsidRPr="008C2F68" w:rsidRDefault="007613BC" w:rsidP="00CA5DB0">
            <w:pPr>
              <w:pStyle w:val="BodyText"/>
              <w:tabs>
                <w:tab w:val="clear" w:pos="1080"/>
              </w:tabs>
              <w:spacing w:line="233" w:lineRule="auto"/>
              <w:jc w:val="right"/>
              <w:rPr>
                <w:szCs w:val="22"/>
                <w:lang w:eastAsia="zh-CN"/>
              </w:rPr>
            </w:pPr>
            <w:r w:rsidRPr="008C2F68">
              <w:rPr>
                <w:szCs w:val="22"/>
                <w:lang w:eastAsia="zh-CN"/>
              </w:rPr>
              <w:t>2,020</w:t>
            </w:r>
          </w:p>
        </w:tc>
        <w:tc>
          <w:tcPr>
            <w:tcW w:w="270" w:type="dxa"/>
            <w:tcBorders>
              <w:top w:val="single" w:sz="4" w:space="0" w:color="auto"/>
              <w:lef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310B48" w:rsidP="00E83A66">
            <w:pPr>
              <w:pStyle w:val="BodyText"/>
              <w:tabs>
                <w:tab w:val="clear" w:pos="1080"/>
              </w:tabs>
              <w:spacing w:line="233" w:lineRule="auto"/>
              <w:jc w:val="right"/>
              <w:rPr>
                <w:szCs w:val="22"/>
                <w:lang w:eastAsia="zh-CN"/>
              </w:rPr>
            </w:pPr>
            <w:r w:rsidRPr="008C2F68">
              <w:rPr>
                <w:szCs w:val="22"/>
                <w:lang w:eastAsia="zh-CN"/>
              </w:rPr>
              <w:t>6,611</w:t>
            </w:r>
          </w:p>
        </w:tc>
        <w:tc>
          <w:tcPr>
            <w:tcW w:w="1663" w:type="dxa"/>
            <w:tcBorders>
              <w:top w:val="single" w:sz="4" w:space="0" w:color="auto"/>
              <w:left w:val="single" w:sz="4" w:space="0" w:color="auto"/>
              <w:right w:val="single" w:sz="4" w:space="0" w:color="auto"/>
            </w:tcBorders>
          </w:tcPr>
          <w:p w:rsidR="0015293D" w:rsidRPr="008C2F68" w:rsidRDefault="0015293D" w:rsidP="00425D5E">
            <w:pPr>
              <w:pStyle w:val="BodyText"/>
              <w:tabs>
                <w:tab w:val="clear" w:pos="1080"/>
              </w:tabs>
              <w:spacing w:line="233" w:lineRule="auto"/>
              <w:jc w:val="right"/>
              <w:rPr>
                <w:szCs w:val="22"/>
                <w:lang w:eastAsia="zh-CN"/>
              </w:rPr>
            </w:pPr>
          </w:p>
          <w:p w:rsidR="0015293D" w:rsidRPr="008C2F68" w:rsidRDefault="0015293D" w:rsidP="00425D5E">
            <w:pPr>
              <w:pStyle w:val="BodyText"/>
              <w:tabs>
                <w:tab w:val="clear" w:pos="1080"/>
              </w:tabs>
              <w:spacing w:line="233" w:lineRule="auto"/>
              <w:jc w:val="right"/>
              <w:rPr>
                <w:szCs w:val="22"/>
                <w:lang w:eastAsia="zh-CN"/>
              </w:rPr>
            </w:pPr>
          </w:p>
          <w:p w:rsidR="006B4997" w:rsidRPr="008C2F68" w:rsidRDefault="007D2129" w:rsidP="007D2129">
            <w:pPr>
              <w:pStyle w:val="BodyText"/>
              <w:tabs>
                <w:tab w:val="clear" w:pos="1080"/>
              </w:tabs>
              <w:spacing w:line="233" w:lineRule="auto"/>
              <w:jc w:val="right"/>
              <w:rPr>
                <w:szCs w:val="22"/>
                <w:lang w:eastAsia="zh-CN"/>
              </w:rPr>
            </w:pPr>
            <w:r w:rsidRPr="008C2F68">
              <w:rPr>
                <w:szCs w:val="22"/>
                <w:lang w:eastAsia="zh-CN"/>
              </w:rPr>
              <w:t>4,979</w:t>
            </w:r>
          </w:p>
        </w:tc>
      </w:tr>
      <w:tr w:rsidR="006B4997" w:rsidRPr="008C2F68">
        <w:trPr>
          <w:trHeight w:val="189"/>
        </w:trPr>
        <w:tc>
          <w:tcPr>
            <w:tcW w:w="2988"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r>
      <w:tr w:rsidR="006B4997" w:rsidRPr="008C2F68">
        <w:tc>
          <w:tcPr>
            <w:tcW w:w="2988" w:type="dxa"/>
            <w:tcBorders>
              <w:top w:val="single" w:sz="4" w:space="0" w:color="auto"/>
              <w:left w:val="single" w:sz="4" w:space="0" w:color="auto"/>
            </w:tcBorders>
          </w:tcPr>
          <w:p w:rsidR="006B4997" w:rsidRPr="008C2F68" w:rsidRDefault="006B4997"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lang w:eastAsia="zh-CN"/>
              </w:rPr>
            </w:pPr>
          </w:p>
          <w:p w:rsidR="006B4997" w:rsidRPr="008C2F68" w:rsidRDefault="003F2ED5" w:rsidP="00C0004D">
            <w:pPr>
              <w:pStyle w:val="BodyText"/>
              <w:tabs>
                <w:tab w:val="clear" w:pos="1080"/>
              </w:tabs>
              <w:spacing w:line="233" w:lineRule="auto"/>
              <w:jc w:val="right"/>
              <w:rPr>
                <w:szCs w:val="22"/>
                <w:lang w:eastAsia="zh-CN"/>
              </w:rPr>
            </w:pPr>
            <w:r w:rsidRPr="008C2F68">
              <w:rPr>
                <w:szCs w:val="22"/>
                <w:lang w:eastAsia="zh-CN"/>
              </w:rPr>
              <w:t>380,374</w:t>
            </w:r>
          </w:p>
        </w:tc>
        <w:tc>
          <w:tcPr>
            <w:tcW w:w="1620" w:type="dxa"/>
            <w:tcBorders>
              <w:top w:val="single" w:sz="4" w:space="0" w:color="auto"/>
              <w:left w:val="single" w:sz="4" w:space="0" w:color="auto"/>
              <w:right w:val="single" w:sz="4" w:space="0" w:color="auto"/>
            </w:tcBorders>
          </w:tcPr>
          <w:p w:rsidR="00425D5E" w:rsidRPr="008C2F68" w:rsidRDefault="00425D5E" w:rsidP="00096719">
            <w:pPr>
              <w:pStyle w:val="BodyText"/>
              <w:tabs>
                <w:tab w:val="clear" w:pos="1080"/>
              </w:tabs>
              <w:spacing w:line="233" w:lineRule="auto"/>
              <w:jc w:val="right"/>
              <w:rPr>
                <w:szCs w:val="22"/>
                <w:lang w:eastAsia="zh-CN"/>
              </w:rPr>
            </w:pPr>
          </w:p>
          <w:p w:rsidR="00425D5E" w:rsidRPr="008C2F68" w:rsidRDefault="007613BC" w:rsidP="0015293D">
            <w:pPr>
              <w:pStyle w:val="BodyText"/>
              <w:tabs>
                <w:tab w:val="clear" w:pos="1080"/>
              </w:tabs>
              <w:spacing w:line="233" w:lineRule="auto"/>
              <w:jc w:val="right"/>
              <w:rPr>
                <w:szCs w:val="22"/>
                <w:lang w:eastAsia="zh-CN"/>
              </w:rPr>
            </w:pPr>
            <w:r w:rsidRPr="008C2F68">
              <w:rPr>
                <w:szCs w:val="22"/>
                <w:lang w:eastAsia="zh-CN"/>
              </w:rPr>
              <w:t>333,896</w:t>
            </w:r>
          </w:p>
        </w:tc>
        <w:tc>
          <w:tcPr>
            <w:tcW w:w="270" w:type="dxa"/>
            <w:tcBorders>
              <w:top w:val="single" w:sz="4" w:space="0" w:color="auto"/>
              <w:lef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3F2ED5" w:rsidP="00425D5E">
            <w:pPr>
              <w:pStyle w:val="BodyText"/>
              <w:tabs>
                <w:tab w:val="clear" w:pos="1080"/>
              </w:tabs>
              <w:spacing w:line="233" w:lineRule="auto"/>
              <w:jc w:val="right"/>
              <w:rPr>
                <w:szCs w:val="22"/>
                <w:lang w:eastAsia="zh-CN"/>
              </w:rPr>
            </w:pPr>
            <w:r w:rsidRPr="008C2F68">
              <w:rPr>
                <w:szCs w:val="22"/>
                <w:lang w:eastAsia="zh-CN"/>
              </w:rPr>
              <w:t>380,374</w:t>
            </w:r>
          </w:p>
        </w:tc>
        <w:tc>
          <w:tcPr>
            <w:tcW w:w="1663" w:type="dxa"/>
            <w:tcBorders>
              <w:top w:val="single" w:sz="4" w:space="0" w:color="auto"/>
              <w:left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lang w:eastAsia="zh-CN"/>
              </w:rPr>
            </w:pPr>
          </w:p>
          <w:p w:rsidR="006B4997" w:rsidRPr="008C2F68" w:rsidRDefault="007D2129" w:rsidP="00CA5DB0">
            <w:pPr>
              <w:pStyle w:val="BodyText"/>
              <w:tabs>
                <w:tab w:val="clear" w:pos="1080"/>
              </w:tabs>
              <w:spacing w:line="233" w:lineRule="auto"/>
              <w:jc w:val="right"/>
              <w:rPr>
                <w:szCs w:val="22"/>
                <w:lang w:eastAsia="zh-CN"/>
              </w:rPr>
            </w:pPr>
            <w:r w:rsidRPr="008C2F68">
              <w:rPr>
                <w:szCs w:val="22"/>
                <w:lang w:eastAsia="zh-CN"/>
              </w:rPr>
              <w:t>349,502</w:t>
            </w:r>
          </w:p>
        </w:tc>
      </w:tr>
      <w:tr w:rsidR="006B4997" w:rsidRPr="008C2F68">
        <w:tc>
          <w:tcPr>
            <w:tcW w:w="2988"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6B4997" w:rsidRPr="008C2F68" w:rsidRDefault="006B4997" w:rsidP="00F82BA0">
            <w:pPr>
              <w:pStyle w:val="BodyText"/>
              <w:tabs>
                <w:tab w:val="clear" w:pos="1080"/>
              </w:tabs>
              <w:spacing w:line="233" w:lineRule="auto"/>
              <w:jc w:val="right"/>
              <w:rPr>
                <w:sz w:val="16"/>
                <w:szCs w:val="16"/>
              </w:rPr>
            </w:pPr>
          </w:p>
        </w:tc>
      </w:tr>
      <w:tr w:rsidR="006B4997" w:rsidRPr="008C2F68">
        <w:trPr>
          <w:trHeight w:val="80"/>
        </w:trPr>
        <w:tc>
          <w:tcPr>
            <w:tcW w:w="2988" w:type="dxa"/>
            <w:tcBorders>
              <w:top w:val="single" w:sz="4" w:space="0" w:color="auto"/>
              <w:left w:val="single" w:sz="4" w:space="0" w:color="auto"/>
              <w:bottom w:val="single" w:sz="4" w:space="0" w:color="auto"/>
            </w:tcBorders>
          </w:tcPr>
          <w:p w:rsidR="006B4997" w:rsidRPr="008C2F68" w:rsidRDefault="006B4997" w:rsidP="009004A3">
            <w:pPr>
              <w:pStyle w:val="BodyText"/>
              <w:tabs>
                <w:tab w:val="clear" w:pos="1080"/>
              </w:tabs>
              <w:spacing w:line="233" w:lineRule="auto"/>
              <w:rPr>
                <w:szCs w:val="22"/>
              </w:rPr>
            </w:pPr>
            <w:r w:rsidRPr="008C2F68">
              <w:rPr>
                <w:szCs w:val="22"/>
              </w:rPr>
              <w:t>Basic EPS (</w:t>
            </w:r>
            <w:proofErr w:type="spellStart"/>
            <w:r w:rsidRPr="008C2F68">
              <w:rPr>
                <w:szCs w:val="22"/>
              </w:rPr>
              <w:t>sen</w:t>
            </w:r>
            <w:proofErr w:type="spellEnd"/>
            <w:r w:rsidRPr="008C2F68">
              <w:rPr>
                <w:szCs w:val="22"/>
              </w:rPr>
              <w:t>)</w:t>
            </w:r>
          </w:p>
          <w:p w:rsidR="006B4997" w:rsidRPr="008C2F68" w:rsidRDefault="006B4997"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6B4997" w:rsidRPr="008C2F68" w:rsidRDefault="006B4997"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6B4997" w:rsidRPr="008C2F68" w:rsidRDefault="00264F5D" w:rsidP="00B35C19">
            <w:pPr>
              <w:pStyle w:val="BodyText"/>
              <w:tabs>
                <w:tab w:val="clear" w:pos="1080"/>
              </w:tabs>
              <w:spacing w:line="233" w:lineRule="auto"/>
              <w:jc w:val="right"/>
              <w:rPr>
                <w:szCs w:val="22"/>
                <w:lang w:eastAsia="zh-CN"/>
              </w:rPr>
            </w:pPr>
            <w:r w:rsidRPr="008C2F68">
              <w:rPr>
                <w:szCs w:val="22"/>
                <w:lang w:eastAsia="zh-CN"/>
              </w:rPr>
              <w:t>0.</w:t>
            </w:r>
            <w:r w:rsidR="00310B48" w:rsidRPr="008C2F68">
              <w:rPr>
                <w:szCs w:val="22"/>
                <w:lang w:eastAsia="zh-CN"/>
              </w:rPr>
              <w:t>55</w:t>
            </w:r>
          </w:p>
        </w:tc>
        <w:tc>
          <w:tcPr>
            <w:tcW w:w="1620" w:type="dxa"/>
            <w:tcBorders>
              <w:top w:val="single" w:sz="4" w:space="0" w:color="auto"/>
              <w:left w:val="single" w:sz="4" w:space="0" w:color="auto"/>
              <w:bottom w:val="single" w:sz="4" w:space="0" w:color="auto"/>
              <w:right w:val="single" w:sz="4" w:space="0" w:color="auto"/>
            </w:tcBorders>
          </w:tcPr>
          <w:p w:rsidR="006B4997" w:rsidRPr="008C2F68" w:rsidRDefault="00425D5E" w:rsidP="00865FDE">
            <w:pPr>
              <w:pStyle w:val="BodyText"/>
              <w:tabs>
                <w:tab w:val="clear" w:pos="1080"/>
              </w:tabs>
              <w:spacing w:line="233" w:lineRule="auto"/>
              <w:jc w:val="right"/>
              <w:rPr>
                <w:szCs w:val="22"/>
                <w:lang w:eastAsia="zh-CN"/>
              </w:rPr>
            </w:pPr>
            <w:r w:rsidRPr="008C2F68">
              <w:rPr>
                <w:szCs w:val="22"/>
                <w:lang w:eastAsia="zh-CN"/>
              </w:rPr>
              <w:t>0.</w:t>
            </w:r>
            <w:r w:rsidR="00865FDE" w:rsidRPr="008C2F68">
              <w:rPr>
                <w:szCs w:val="22"/>
                <w:lang w:eastAsia="zh-CN"/>
              </w:rPr>
              <w:t>60</w:t>
            </w:r>
          </w:p>
        </w:tc>
        <w:tc>
          <w:tcPr>
            <w:tcW w:w="270" w:type="dxa"/>
            <w:tcBorders>
              <w:top w:val="single" w:sz="4" w:space="0" w:color="auto"/>
              <w:left w:val="single" w:sz="4" w:space="0" w:color="auto"/>
              <w:bottom w:val="single" w:sz="4" w:space="0" w:color="auto"/>
            </w:tcBorders>
          </w:tcPr>
          <w:p w:rsidR="006B4997" w:rsidRPr="008C2F68" w:rsidRDefault="006B4997"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6B4997" w:rsidRPr="008C2F68" w:rsidRDefault="00E83A66" w:rsidP="00264F5D">
            <w:pPr>
              <w:pStyle w:val="BodyText"/>
              <w:tabs>
                <w:tab w:val="clear" w:pos="1080"/>
              </w:tabs>
              <w:spacing w:line="233" w:lineRule="auto"/>
              <w:jc w:val="right"/>
              <w:rPr>
                <w:szCs w:val="22"/>
                <w:lang w:eastAsia="zh-CN"/>
              </w:rPr>
            </w:pPr>
            <w:r w:rsidRPr="008C2F68">
              <w:rPr>
                <w:szCs w:val="22"/>
                <w:lang w:eastAsia="zh-CN"/>
              </w:rPr>
              <w:t>1.</w:t>
            </w:r>
            <w:r w:rsidR="00310B48" w:rsidRPr="008C2F68">
              <w:rPr>
                <w:szCs w:val="22"/>
                <w:lang w:eastAsia="zh-CN"/>
              </w:rPr>
              <w:t>74</w:t>
            </w:r>
          </w:p>
        </w:tc>
        <w:tc>
          <w:tcPr>
            <w:tcW w:w="1663" w:type="dxa"/>
            <w:tcBorders>
              <w:top w:val="single" w:sz="4" w:space="0" w:color="auto"/>
              <w:left w:val="single" w:sz="4" w:space="0" w:color="auto"/>
              <w:bottom w:val="single" w:sz="4" w:space="0" w:color="auto"/>
              <w:right w:val="single" w:sz="4" w:space="0" w:color="auto"/>
            </w:tcBorders>
          </w:tcPr>
          <w:p w:rsidR="006B4997" w:rsidRPr="008C2F68" w:rsidRDefault="007D2129" w:rsidP="00332A24">
            <w:pPr>
              <w:pStyle w:val="BodyText"/>
              <w:tabs>
                <w:tab w:val="clear" w:pos="1080"/>
              </w:tabs>
              <w:spacing w:line="233" w:lineRule="auto"/>
              <w:jc w:val="right"/>
              <w:rPr>
                <w:szCs w:val="22"/>
                <w:lang w:eastAsia="zh-CN"/>
              </w:rPr>
            </w:pPr>
            <w:r w:rsidRPr="008C2F68">
              <w:rPr>
                <w:szCs w:val="22"/>
                <w:lang w:eastAsia="zh-CN"/>
              </w:rPr>
              <w:t>1.42</w:t>
            </w:r>
          </w:p>
        </w:tc>
      </w:tr>
    </w:tbl>
    <w:p w:rsidR="002B49A6" w:rsidRPr="008C2F68" w:rsidRDefault="002B49A6" w:rsidP="000C01B7">
      <w:pPr>
        <w:rPr>
          <w:b/>
          <w:bCs/>
          <w:szCs w:val="22"/>
        </w:rPr>
      </w:pPr>
    </w:p>
    <w:p w:rsidR="00541004" w:rsidRPr="008C2F68" w:rsidRDefault="00D74BEB" w:rsidP="00C552A3">
      <w:pPr>
        <w:pStyle w:val="BodyText"/>
        <w:tabs>
          <w:tab w:val="clear" w:pos="1080"/>
          <w:tab w:val="left" w:pos="810"/>
          <w:tab w:val="left" w:pos="3240"/>
        </w:tabs>
        <w:spacing w:line="233" w:lineRule="auto"/>
        <w:jc w:val="left"/>
        <w:rPr>
          <w:b/>
          <w:bCs/>
          <w:szCs w:val="22"/>
        </w:rPr>
      </w:pPr>
      <w:r w:rsidRPr="008C2F68">
        <w:rPr>
          <w:b/>
          <w:bCs/>
          <w:szCs w:val="22"/>
        </w:rPr>
        <w:tab/>
      </w:r>
      <w:r w:rsidR="00541004" w:rsidRPr="008C2F68">
        <w:rPr>
          <w:b/>
          <w:bCs/>
          <w:szCs w:val="22"/>
        </w:rPr>
        <w:t>Diluted</w:t>
      </w:r>
    </w:p>
    <w:p w:rsidR="00541004" w:rsidRPr="008C2F68" w:rsidRDefault="00541004" w:rsidP="00E66080">
      <w:pPr>
        <w:pStyle w:val="BodyText"/>
        <w:spacing w:line="233" w:lineRule="auto"/>
        <w:ind w:left="720"/>
        <w:rPr>
          <w:b/>
          <w:bCs/>
          <w:szCs w:val="22"/>
        </w:rPr>
      </w:pPr>
    </w:p>
    <w:p w:rsidR="004F347C" w:rsidRPr="008C2F68" w:rsidRDefault="00C209B2" w:rsidP="004F347C">
      <w:pPr>
        <w:pStyle w:val="BodyText"/>
        <w:tabs>
          <w:tab w:val="clear" w:pos="1080"/>
        </w:tabs>
        <w:spacing w:line="232" w:lineRule="auto"/>
        <w:ind w:left="720"/>
        <w:rPr>
          <w:i/>
          <w:iCs/>
          <w:szCs w:val="22"/>
        </w:rPr>
      </w:pPr>
      <w:r w:rsidRPr="008C2F68">
        <w:rPr>
          <w:szCs w:val="22"/>
        </w:rPr>
        <w:t xml:space="preserve">The calculation of the diluted EPS is based on the net profit for the current financial quarter and the </w:t>
      </w:r>
      <w:r w:rsidR="004564D5" w:rsidRPr="008C2F68">
        <w:rPr>
          <w:szCs w:val="22"/>
        </w:rPr>
        <w:t>nine</w:t>
      </w:r>
      <w:r w:rsidRPr="008C2F68">
        <w:rPr>
          <w:szCs w:val="22"/>
        </w:rPr>
        <w:t xml:space="preserve"> (</w:t>
      </w:r>
      <w:r w:rsidR="004564D5" w:rsidRPr="008C2F68">
        <w:rPr>
          <w:szCs w:val="22"/>
        </w:rPr>
        <w:t>9</w:t>
      </w:r>
      <w:r w:rsidRPr="008C2F68">
        <w:rPr>
          <w:szCs w:val="22"/>
        </w:rPr>
        <w:t>) months financial period, divided by the adjusted weighted average number of ordinary shares of RM0.10 each in issue and issuable under the exercise of share options granted under the ESOS exercise</w:t>
      </w:r>
      <w:r w:rsidR="003411BC" w:rsidRPr="008C2F68">
        <w:rPr>
          <w:rFonts w:hint="eastAsia"/>
          <w:szCs w:val="22"/>
          <w:lang w:eastAsia="zh-CN"/>
        </w:rPr>
        <w:t xml:space="preserve">. </w:t>
      </w:r>
    </w:p>
    <w:p w:rsidR="00911F8A" w:rsidRPr="008C2F68"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E83A66" w:rsidRPr="008C2F68">
        <w:tc>
          <w:tcPr>
            <w:tcW w:w="2988" w:type="dxa"/>
            <w:tcBorders>
              <w:top w:val="single" w:sz="4" w:space="0" w:color="auto"/>
              <w:left w:val="single" w:sz="4" w:space="0" w:color="auto"/>
            </w:tcBorders>
          </w:tcPr>
          <w:p w:rsidR="00E83A66" w:rsidRPr="008C2F68" w:rsidRDefault="00E83A66"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E83A66" w:rsidRPr="008C2F68" w:rsidRDefault="00E83A66"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E83A66" w:rsidRPr="008C2F68" w:rsidRDefault="00865FDE" w:rsidP="00E83A66">
            <w:pPr>
              <w:pStyle w:val="BodyText"/>
              <w:tabs>
                <w:tab w:val="clear" w:pos="1080"/>
              </w:tabs>
              <w:spacing w:line="233" w:lineRule="auto"/>
              <w:jc w:val="center"/>
              <w:rPr>
                <w:b/>
                <w:bCs/>
                <w:iCs/>
                <w:szCs w:val="22"/>
              </w:rPr>
            </w:pPr>
            <w:r w:rsidRPr="008C2F68">
              <w:rPr>
                <w:b/>
                <w:bCs/>
                <w:szCs w:val="22"/>
                <w:lang w:eastAsia="zh-CN"/>
              </w:rPr>
              <w:t>3rd</w:t>
            </w:r>
            <w:r w:rsidR="00E83A66" w:rsidRPr="008C2F68">
              <w:rPr>
                <w:b/>
                <w:bCs/>
                <w:szCs w:val="22"/>
                <w:lang w:eastAsia="zh-CN"/>
              </w:rPr>
              <w:t xml:space="preserve"> </w:t>
            </w:r>
            <w:r w:rsidR="00E83A66" w:rsidRPr="008C2F68">
              <w:rPr>
                <w:b/>
                <w:bCs/>
                <w:szCs w:val="22"/>
              </w:rPr>
              <w:t>Quarter Ended</w:t>
            </w:r>
          </w:p>
        </w:tc>
        <w:tc>
          <w:tcPr>
            <w:tcW w:w="270" w:type="dxa"/>
            <w:tcBorders>
              <w:top w:val="single" w:sz="4" w:space="0" w:color="auto"/>
              <w:left w:val="single" w:sz="4" w:space="0" w:color="auto"/>
              <w:bottom w:val="single" w:sz="4" w:space="0" w:color="auto"/>
            </w:tcBorders>
          </w:tcPr>
          <w:p w:rsidR="00E83A66" w:rsidRPr="008C2F68" w:rsidRDefault="00E83A66" w:rsidP="00E83A66">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E83A66" w:rsidRPr="008C2F68" w:rsidRDefault="00865FDE" w:rsidP="00E83A66">
            <w:pPr>
              <w:pStyle w:val="BodyText"/>
              <w:tabs>
                <w:tab w:val="clear" w:pos="1080"/>
              </w:tabs>
              <w:spacing w:line="233" w:lineRule="auto"/>
              <w:jc w:val="center"/>
              <w:rPr>
                <w:b/>
                <w:bCs/>
                <w:iCs/>
                <w:szCs w:val="22"/>
              </w:rPr>
            </w:pPr>
            <w:r w:rsidRPr="008C2F68">
              <w:rPr>
                <w:b/>
                <w:bCs/>
                <w:szCs w:val="22"/>
                <w:lang w:eastAsia="zh-CN"/>
              </w:rPr>
              <w:t>9</w:t>
            </w:r>
            <w:r w:rsidR="00E83A66" w:rsidRPr="008C2F68">
              <w:rPr>
                <w:b/>
                <w:bCs/>
                <w:szCs w:val="22"/>
                <w:lang w:eastAsia="zh-CN"/>
              </w:rPr>
              <w:t xml:space="preserve"> Months</w:t>
            </w:r>
            <w:r w:rsidR="00E83A66" w:rsidRPr="008C2F68">
              <w:rPr>
                <w:b/>
                <w:bCs/>
                <w:szCs w:val="22"/>
              </w:rPr>
              <w:t xml:space="preserve"> Ended</w:t>
            </w:r>
          </w:p>
        </w:tc>
      </w:tr>
      <w:tr w:rsidR="00E83A66" w:rsidRPr="008C2F68">
        <w:tc>
          <w:tcPr>
            <w:tcW w:w="2988" w:type="dxa"/>
            <w:tcBorders>
              <w:left w:val="single" w:sz="4" w:space="0" w:color="auto"/>
            </w:tcBorders>
          </w:tcPr>
          <w:p w:rsidR="00E83A66" w:rsidRPr="008C2F68" w:rsidRDefault="00E83A66" w:rsidP="009004A3">
            <w:pPr>
              <w:pStyle w:val="BodyText"/>
              <w:tabs>
                <w:tab w:val="clear" w:pos="1080"/>
              </w:tabs>
              <w:spacing w:line="233" w:lineRule="auto"/>
              <w:rPr>
                <w:i/>
                <w:iCs/>
                <w:szCs w:val="22"/>
              </w:rPr>
            </w:pPr>
          </w:p>
        </w:tc>
        <w:tc>
          <w:tcPr>
            <w:tcW w:w="270" w:type="dxa"/>
            <w:tcBorders>
              <w:right w:val="single" w:sz="4" w:space="0" w:color="auto"/>
            </w:tcBorders>
          </w:tcPr>
          <w:p w:rsidR="00E83A66" w:rsidRPr="008C2F68" w:rsidRDefault="00E83A66"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E83A66" w:rsidRPr="008C2F68" w:rsidRDefault="00E83A66" w:rsidP="000A4C83">
            <w:pPr>
              <w:pStyle w:val="BodyText"/>
              <w:tabs>
                <w:tab w:val="clear" w:pos="1080"/>
              </w:tabs>
              <w:spacing w:line="233" w:lineRule="auto"/>
              <w:jc w:val="center"/>
              <w:rPr>
                <w:b/>
                <w:bCs/>
                <w:szCs w:val="22"/>
                <w:lang w:eastAsia="zh-CN"/>
              </w:rPr>
            </w:pPr>
            <w:r w:rsidRPr="008C2F68">
              <w:rPr>
                <w:b/>
                <w:bCs/>
                <w:szCs w:val="22"/>
              </w:rPr>
              <w:t>30.0</w:t>
            </w:r>
            <w:r w:rsidR="000A4C83" w:rsidRPr="008C2F68">
              <w:rPr>
                <w:b/>
                <w:bCs/>
                <w:szCs w:val="22"/>
              </w:rPr>
              <w:t>9</w:t>
            </w:r>
            <w:r w:rsidRPr="008C2F68">
              <w:rPr>
                <w:b/>
                <w:bCs/>
                <w:szCs w:val="22"/>
              </w:rPr>
              <w:t>.2013</w:t>
            </w:r>
          </w:p>
        </w:tc>
        <w:tc>
          <w:tcPr>
            <w:tcW w:w="1620" w:type="dxa"/>
            <w:tcBorders>
              <w:top w:val="single" w:sz="4" w:space="0" w:color="auto"/>
              <w:left w:val="single" w:sz="4" w:space="0" w:color="auto"/>
              <w:right w:val="single" w:sz="4" w:space="0" w:color="auto"/>
            </w:tcBorders>
          </w:tcPr>
          <w:p w:rsidR="00E83A66" w:rsidRPr="008C2F68" w:rsidRDefault="00E83A66" w:rsidP="00865FDE">
            <w:pPr>
              <w:pStyle w:val="BodyText"/>
              <w:tabs>
                <w:tab w:val="clear" w:pos="1080"/>
              </w:tabs>
              <w:spacing w:line="233" w:lineRule="auto"/>
              <w:jc w:val="center"/>
              <w:rPr>
                <w:b/>
                <w:bCs/>
                <w:iCs/>
                <w:szCs w:val="22"/>
                <w:lang w:eastAsia="zh-CN"/>
              </w:rPr>
            </w:pPr>
            <w:r w:rsidRPr="008C2F68">
              <w:rPr>
                <w:b/>
                <w:bCs/>
                <w:iCs/>
                <w:szCs w:val="22"/>
                <w:lang w:eastAsia="zh-CN"/>
              </w:rPr>
              <w:t>30.0</w:t>
            </w:r>
            <w:r w:rsidR="00865FDE" w:rsidRPr="008C2F68">
              <w:rPr>
                <w:b/>
                <w:bCs/>
                <w:iCs/>
                <w:szCs w:val="22"/>
                <w:lang w:eastAsia="zh-CN"/>
              </w:rPr>
              <w:t>9</w:t>
            </w:r>
            <w:r w:rsidRPr="008C2F68">
              <w:rPr>
                <w:b/>
                <w:bCs/>
                <w:iCs/>
                <w:szCs w:val="22"/>
                <w:lang w:eastAsia="zh-CN"/>
              </w:rPr>
              <w:t>.2012</w:t>
            </w:r>
          </w:p>
        </w:tc>
        <w:tc>
          <w:tcPr>
            <w:tcW w:w="270" w:type="dxa"/>
            <w:tcBorders>
              <w:top w:val="single" w:sz="4" w:space="0" w:color="auto"/>
              <w:left w:val="single" w:sz="4" w:space="0" w:color="auto"/>
            </w:tcBorders>
          </w:tcPr>
          <w:p w:rsidR="00E83A66" w:rsidRPr="008C2F68" w:rsidRDefault="00E83A66" w:rsidP="00E83A66">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E83A66" w:rsidRPr="008C2F68" w:rsidRDefault="00E83A66" w:rsidP="000A4C83">
            <w:pPr>
              <w:pStyle w:val="BodyText"/>
              <w:tabs>
                <w:tab w:val="clear" w:pos="1080"/>
              </w:tabs>
              <w:spacing w:line="233" w:lineRule="auto"/>
              <w:jc w:val="center"/>
              <w:rPr>
                <w:b/>
                <w:bCs/>
                <w:szCs w:val="22"/>
                <w:lang w:eastAsia="zh-CN"/>
              </w:rPr>
            </w:pPr>
            <w:r w:rsidRPr="008C2F68">
              <w:rPr>
                <w:b/>
                <w:bCs/>
                <w:szCs w:val="22"/>
              </w:rPr>
              <w:t>30.0</w:t>
            </w:r>
            <w:r w:rsidR="000A4C83" w:rsidRPr="008C2F68">
              <w:rPr>
                <w:b/>
                <w:bCs/>
                <w:szCs w:val="22"/>
              </w:rPr>
              <w:t>9</w:t>
            </w:r>
            <w:r w:rsidRPr="008C2F68">
              <w:rPr>
                <w:b/>
                <w:bCs/>
                <w:szCs w:val="22"/>
              </w:rPr>
              <w:t>.2013</w:t>
            </w:r>
          </w:p>
        </w:tc>
        <w:tc>
          <w:tcPr>
            <w:tcW w:w="1620" w:type="dxa"/>
            <w:tcBorders>
              <w:top w:val="single" w:sz="4" w:space="0" w:color="auto"/>
              <w:left w:val="single" w:sz="4" w:space="0" w:color="auto"/>
              <w:right w:val="single" w:sz="4" w:space="0" w:color="auto"/>
            </w:tcBorders>
          </w:tcPr>
          <w:p w:rsidR="00E83A66" w:rsidRPr="008C2F68" w:rsidRDefault="00E83A66" w:rsidP="00865FDE">
            <w:pPr>
              <w:pStyle w:val="BodyText"/>
              <w:tabs>
                <w:tab w:val="clear" w:pos="1080"/>
              </w:tabs>
              <w:spacing w:line="233" w:lineRule="auto"/>
              <w:jc w:val="center"/>
              <w:rPr>
                <w:b/>
                <w:bCs/>
                <w:iCs/>
                <w:szCs w:val="22"/>
                <w:lang w:eastAsia="zh-CN"/>
              </w:rPr>
            </w:pPr>
            <w:r w:rsidRPr="008C2F68">
              <w:rPr>
                <w:b/>
                <w:bCs/>
                <w:iCs/>
                <w:szCs w:val="22"/>
                <w:lang w:eastAsia="zh-CN"/>
              </w:rPr>
              <w:t>30.0</w:t>
            </w:r>
            <w:r w:rsidR="00865FDE" w:rsidRPr="008C2F68">
              <w:rPr>
                <w:b/>
                <w:bCs/>
                <w:iCs/>
                <w:szCs w:val="22"/>
                <w:lang w:eastAsia="zh-CN"/>
              </w:rPr>
              <w:t>9</w:t>
            </w:r>
            <w:r w:rsidRPr="008C2F68">
              <w:rPr>
                <w:b/>
                <w:bCs/>
                <w:iCs/>
                <w:szCs w:val="22"/>
                <w:lang w:eastAsia="zh-CN"/>
              </w:rPr>
              <w:t>.2012</w:t>
            </w: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B5F5C" w:rsidP="00795EE5">
            <w:pPr>
              <w:pStyle w:val="BodyText"/>
              <w:tabs>
                <w:tab w:val="clear" w:pos="1080"/>
              </w:tabs>
              <w:spacing w:line="233" w:lineRule="auto"/>
              <w:jc w:val="right"/>
              <w:rPr>
                <w:szCs w:val="22"/>
                <w:lang w:eastAsia="zh-CN"/>
              </w:rPr>
            </w:pPr>
          </w:p>
          <w:p w:rsidR="004B5F5C" w:rsidRPr="008C2F68" w:rsidRDefault="00FE2A05" w:rsidP="00587134">
            <w:pPr>
              <w:pStyle w:val="BodyText"/>
              <w:tabs>
                <w:tab w:val="clear" w:pos="1080"/>
              </w:tabs>
              <w:spacing w:line="233" w:lineRule="auto"/>
              <w:jc w:val="right"/>
              <w:rPr>
                <w:szCs w:val="22"/>
                <w:lang w:eastAsia="zh-CN"/>
              </w:rPr>
            </w:pPr>
            <w:r w:rsidRPr="008C2F68">
              <w:rPr>
                <w:szCs w:val="22"/>
                <w:lang w:eastAsia="zh-CN"/>
              </w:rPr>
              <w:t>380,374</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A439E9" w:rsidP="00CA5DB0">
            <w:pPr>
              <w:pStyle w:val="BodyText"/>
              <w:tabs>
                <w:tab w:val="clear" w:pos="1080"/>
              </w:tabs>
              <w:spacing w:line="233" w:lineRule="auto"/>
              <w:jc w:val="right"/>
              <w:rPr>
                <w:szCs w:val="22"/>
                <w:lang w:eastAsia="zh-CN"/>
              </w:rPr>
            </w:pPr>
            <w:r w:rsidRPr="008C2F68">
              <w:rPr>
                <w:szCs w:val="22"/>
                <w:lang w:eastAsia="zh-CN"/>
              </w:rPr>
              <w:t>333,896</w:t>
            </w:r>
          </w:p>
        </w:tc>
        <w:tc>
          <w:tcPr>
            <w:tcW w:w="270" w:type="dxa"/>
            <w:tcBorders>
              <w:top w:val="single" w:sz="4" w:space="0" w:color="auto"/>
              <w:left w:val="single" w:sz="4" w:space="0" w:color="auto"/>
            </w:tcBorders>
          </w:tcPr>
          <w:p w:rsidR="004B5F5C" w:rsidRPr="008C2F68"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725D9F" w:rsidRPr="008C2F68" w:rsidRDefault="00FE2A05" w:rsidP="00587134">
            <w:pPr>
              <w:pStyle w:val="BodyText"/>
              <w:tabs>
                <w:tab w:val="clear" w:pos="1080"/>
              </w:tabs>
              <w:spacing w:line="233" w:lineRule="auto"/>
              <w:jc w:val="right"/>
              <w:rPr>
                <w:szCs w:val="22"/>
                <w:lang w:eastAsia="zh-CN"/>
              </w:rPr>
            </w:pPr>
            <w:r w:rsidRPr="008C2F68">
              <w:rPr>
                <w:szCs w:val="22"/>
                <w:lang w:eastAsia="zh-CN"/>
              </w:rPr>
              <w:t>380,374</w:t>
            </w:r>
          </w:p>
        </w:tc>
        <w:tc>
          <w:tcPr>
            <w:tcW w:w="1620" w:type="dxa"/>
            <w:tcBorders>
              <w:top w:val="single" w:sz="4" w:space="0" w:color="auto"/>
              <w:left w:val="single" w:sz="4" w:space="0" w:color="auto"/>
              <w:right w:val="single" w:sz="4" w:space="0" w:color="auto"/>
            </w:tcBorders>
          </w:tcPr>
          <w:p w:rsidR="00FE2A05" w:rsidRPr="008C2F68" w:rsidRDefault="00FE2A05" w:rsidP="00026BDD">
            <w:pPr>
              <w:pStyle w:val="BodyText"/>
              <w:tabs>
                <w:tab w:val="clear" w:pos="1080"/>
              </w:tabs>
              <w:spacing w:line="233" w:lineRule="auto"/>
              <w:jc w:val="right"/>
              <w:rPr>
                <w:szCs w:val="22"/>
                <w:lang w:eastAsia="zh-CN"/>
              </w:rPr>
            </w:pPr>
          </w:p>
          <w:p w:rsidR="00F73EF0" w:rsidRPr="008C2F68" w:rsidRDefault="00CA5DB0" w:rsidP="00865FDE">
            <w:pPr>
              <w:pStyle w:val="BodyText"/>
              <w:tabs>
                <w:tab w:val="clear" w:pos="1080"/>
              </w:tabs>
              <w:spacing w:line="233" w:lineRule="auto"/>
              <w:jc w:val="right"/>
              <w:rPr>
                <w:szCs w:val="22"/>
                <w:lang w:eastAsia="zh-CN"/>
              </w:rPr>
            </w:pPr>
            <w:r w:rsidRPr="008C2F68">
              <w:rPr>
                <w:szCs w:val="22"/>
                <w:lang w:eastAsia="zh-CN"/>
              </w:rPr>
              <w:t>3</w:t>
            </w:r>
            <w:r w:rsidR="00865FDE" w:rsidRPr="008C2F68">
              <w:rPr>
                <w:szCs w:val="22"/>
                <w:lang w:eastAsia="zh-CN"/>
              </w:rPr>
              <w:t>49</w:t>
            </w:r>
            <w:r w:rsidRPr="008C2F68">
              <w:rPr>
                <w:szCs w:val="22"/>
                <w:lang w:eastAsia="zh-CN"/>
              </w:rPr>
              <w:t>,</w:t>
            </w:r>
            <w:r w:rsidR="00865FDE" w:rsidRPr="008C2F68">
              <w:rPr>
                <w:szCs w:val="22"/>
                <w:lang w:eastAsia="zh-CN"/>
              </w:rPr>
              <w:t>502</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0A4C83" w:rsidP="00264F5D">
            <w:pPr>
              <w:pStyle w:val="BodyText"/>
              <w:tabs>
                <w:tab w:val="clear" w:pos="720"/>
                <w:tab w:val="clear" w:pos="1080"/>
                <w:tab w:val="left" w:pos="1134"/>
              </w:tabs>
              <w:spacing w:line="233" w:lineRule="auto"/>
              <w:jc w:val="right"/>
              <w:rPr>
                <w:szCs w:val="22"/>
                <w:lang w:eastAsia="zh-CN"/>
              </w:rPr>
            </w:pPr>
            <w:r w:rsidRPr="008C2F68">
              <w:rPr>
                <w:szCs w:val="22"/>
                <w:lang w:eastAsia="zh-CN"/>
              </w:rPr>
              <w:t>669</w:t>
            </w:r>
          </w:p>
        </w:tc>
        <w:tc>
          <w:tcPr>
            <w:tcW w:w="1620" w:type="dxa"/>
            <w:tcBorders>
              <w:top w:val="single" w:sz="4" w:space="0" w:color="auto"/>
              <w:left w:val="single" w:sz="4" w:space="0" w:color="auto"/>
              <w:right w:val="single" w:sz="4" w:space="0" w:color="auto"/>
            </w:tcBorders>
          </w:tcPr>
          <w:p w:rsidR="004B5F5C" w:rsidRPr="008C2F68" w:rsidRDefault="00A439E9" w:rsidP="00A4603D">
            <w:pPr>
              <w:pStyle w:val="BodyText"/>
              <w:tabs>
                <w:tab w:val="clear" w:pos="1080"/>
              </w:tabs>
              <w:spacing w:line="233" w:lineRule="auto"/>
              <w:jc w:val="right"/>
              <w:rPr>
                <w:szCs w:val="22"/>
                <w:lang w:eastAsia="zh-CN"/>
              </w:rPr>
            </w:pPr>
            <w:r w:rsidRPr="008C2F68">
              <w:rPr>
                <w:szCs w:val="22"/>
                <w:lang w:eastAsia="zh-CN"/>
              </w:rPr>
              <w:t>497</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0A4C83" w:rsidP="00F82BA0">
            <w:pPr>
              <w:pStyle w:val="BodyText"/>
              <w:tabs>
                <w:tab w:val="clear" w:pos="720"/>
                <w:tab w:val="clear" w:pos="1080"/>
                <w:tab w:val="left" w:pos="1134"/>
              </w:tabs>
              <w:spacing w:line="233" w:lineRule="auto"/>
              <w:jc w:val="right"/>
              <w:rPr>
                <w:szCs w:val="22"/>
                <w:lang w:eastAsia="zh-CN"/>
              </w:rPr>
            </w:pPr>
            <w:r w:rsidRPr="008C2F68">
              <w:rPr>
                <w:szCs w:val="22"/>
                <w:lang w:eastAsia="zh-CN"/>
              </w:rPr>
              <w:t>669</w:t>
            </w:r>
          </w:p>
        </w:tc>
        <w:tc>
          <w:tcPr>
            <w:tcW w:w="1620" w:type="dxa"/>
            <w:tcBorders>
              <w:top w:val="single" w:sz="4" w:space="0" w:color="auto"/>
              <w:left w:val="single" w:sz="4" w:space="0" w:color="auto"/>
              <w:right w:val="single" w:sz="4" w:space="0" w:color="auto"/>
            </w:tcBorders>
          </w:tcPr>
          <w:p w:rsidR="004B5F5C" w:rsidRPr="008C2F68" w:rsidRDefault="00865FDE" w:rsidP="00F82BA0">
            <w:pPr>
              <w:pStyle w:val="BodyText"/>
              <w:tabs>
                <w:tab w:val="clear" w:pos="1080"/>
              </w:tabs>
              <w:spacing w:line="233" w:lineRule="auto"/>
              <w:jc w:val="right"/>
              <w:rPr>
                <w:szCs w:val="22"/>
                <w:lang w:eastAsia="zh-CN"/>
              </w:rPr>
            </w:pPr>
            <w:r w:rsidRPr="008C2F68">
              <w:rPr>
                <w:szCs w:val="22"/>
                <w:lang w:eastAsia="zh-CN"/>
              </w:rPr>
              <w:t>497</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E2A05" w:rsidRPr="008C2F68" w:rsidRDefault="00FE2A05" w:rsidP="00EC34B0">
            <w:pPr>
              <w:pStyle w:val="BodyText"/>
              <w:tabs>
                <w:tab w:val="clear" w:pos="1080"/>
              </w:tabs>
              <w:spacing w:line="233" w:lineRule="auto"/>
              <w:jc w:val="right"/>
              <w:rPr>
                <w:szCs w:val="22"/>
                <w:lang w:eastAsia="zh-CN"/>
              </w:rPr>
            </w:pPr>
          </w:p>
          <w:p w:rsidR="00FE2A05" w:rsidRPr="008C2F68" w:rsidRDefault="00FE2A05" w:rsidP="00EC34B0">
            <w:pPr>
              <w:pStyle w:val="BodyText"/>
              <w:tabs>
                <w:tab w:val="clear" w:pos="1080"/>
              </w:tabs>
              <w:spacing w:line="233" w:lineRule="auto"/>
              <w:jc w:val="right"/>
              <w:rPr>
                <w:szCs w:val="22"/>
                <w:lang w:eastAsia="zh-CN"/>
              </w:rPr>
            </w:pPr>
          </w:p>
          <w:p w:rsidR="00587134" w:rsidRPr="008C2F68" w:rsidRDefault="00FE2A05" w:rsidP="000A4C83">
            <w:pPr>
              <w:pStyle w:val="BodyText"/>
              <w:tabs>
                <w:tab w:val="clear" w:pos="1080"/>
              </w:tabs>
              <w:spacing w:line="233" w:lineRule="auto"/>
              <w:jc w:val="right"/>
              <w:rPr>
                <w:szCs w:val="22"/>
                <w:lang w:eastAsia="zh-CN"/>
              </w:rPr>
            </w:pPr>
            <w:r w:rsidRPr="008C2F68">
              <w:rPr>
                <w:szCs w:val="22"/>
                <w:lang w:eastAsia="zh-CN"/>
              </w:rPr>
              <w:t>38</w:t>
            </w:r>
            <w:r w:rsidR="000A4C83" w:rsidRPr="008C2F68">
              <w:rPr>
                <w:szCs w:val="22"/>
                <w:lang w:eastAsia="zh-CN"/>
              </w:rPr>
              <w:t>1,043</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F73EF0" w:rsidRPr="008C2F68" w:rsidRDefault="00F73EF0" w:rsidP="00F82BA0">
            <w:pPr>
              <w:pStyle w:val="BodyText"/>
              <w:tabs>
                <w:tab w:val="clear" w:pos="1080"/>
              </w:tabs>
              <w:spacing w:line="233" w:lineRule="auto"/>
              <w:jc w:val="right"/>
              <w:rPr>
                <w:szCs w:val="22"/>
                <w:lang w:eastAsia="zh-CN"/>
              </w:rPr>
            </w:pPr>
          </w:p>
          <w:p w:rsidR="00F73EF0" w:rsidRPr="008C2F68" w:rsidRDefault="00A439E9" w:rsidP="00CA5DB0">
            <w:pPr>
              <w:pStyle w:val="BodyText"/>
              <w:tabs>
                <w:tab w:val="clear" w:pos="1080"/>
              </w:tabs>
              <w:spacing w:line="233" w:lineRule="auto"/>
              <w:jc w:val="right"/>
              <w:rPr>
                <w:szCs w:val="22"/>
                <w:lang w:eastAsia="zh-CN"/>
              </w:rPr>
            </w:pPr>
            <w:r w:rsidRPr="008C2F68">
              <w:rPr>
                <w:szCs w:val="22"/>
                <w:lang w:eastAsia="zh-CN"/>
              </w:rPr>
              <w:t>334,393</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FE2A05" w:rsidP="00E83A66">
            <w:pPr>
              <w:pStyle w:val="BodyText"/>
              <w:tabs>
                <w:tab w:val="clear" w:pos="1080"/>
              </w:tabs>
              <w:spacing w:line="233" w:lineRule="auto"/>
              <w:jc w:val="right"/>
              <w:rPr>
                <w:szCs w:val="22"/>
                <w:lang w:eastAsia="zh-CN"/>
              </w:rPr>
            </w:pPr>
            <w:r w:rsidRPr="008C2F68">
              <w:rPr>
                <w:szCs w:val="22"/>
                <w:lang w:eastAsia="zh-CN"/>
              </w:rPr>
              <w:t>38</w:t>
            </w:r>
            <w:r w:rsidR="000A4C83" w:rsidRPr="008C2F68">
              <w:rPr>
                <w:szCs w:val="22"/>
                <w:lang w:eastAsia="zh-CN"/>
              </w:rPr>
              <w:t>1,043</w:t>
            </w:r>
          </w:p>
        </w:tc>
        <w:tc>
          <w:tcPr>
            <w:tcW w:w="1620" w:type="dxa"/>
            <w:tcBorders>
              <w:top w:val="single" w:sz="4" w:space="0" w:color="auto"/>
              <w:left w:val="single" w:sz="4" w:space="0" w:color="auto"/>
              <w:right w:val="single" w:sz="4" w:space="0" w:color="auto"/>
            </w:tcBorders>
          </w:tcPr>
          <w:p w:rsidR="004B5F5C" w:rsidRPr="008C2F68" w:rsidRDefault="004B5F5C" w:rsidP="00A4603D">
            <w:pPr>
              <w:pStyle w:val="BodyText"/>
              <w:tabs>
                <w:tab w:val="clear" w:pos="1080"/>
              </w:tabs>
              <w:spacing w:line="233" w:lineRule="auto"/>
              <w:jc w:val="right"/>
              <w:rPr>
                <w:szCs w:val="22"/>
                <w:lang w:eastAsia="zh-CN"/>
              </w:rPr>
            </w:pPr>
          </w:p>
          <w:p w:rsidR="00F73EF0" w:rsidRPr="008C2F68" w:rsidRDefault="00F73EF0" w:rsidP="00A4603D">
            <w:pPr>
              <w:pStyle w:val="BodyText"/>
              <w:tabs>
                <w:tab w:val="clear" w:pos="1080"/>
              </w:tabs>
              <w:spacing w:line="233" w:lineRule="auto"/>
              <w:jc w:val="right"/>
              <w:rPr>
                <w:szCs w:val="22"/>
                <w:lang w:eastAsia="zh-CN"/>
              </w:rPr>
            </w:pPr>
          </w:p>
          <w:p w:rsidR="00F73EF0" w:rsidRPr="008C2F68" w:rsidRDefault="00CA5DB0" w:rsidP="00CA5DB0">
            <w:pPr>
              <w:pStyle w:val="BodyText"/>
              <w:tabs>
                <w:tab w:val="clear" w:pos="1080"/>
              </w:tabs>
              <w:spacing w:line="233" w:lineRule="auto"/>
              <w:jc w:val="right"/>
              <w:rPr>
                <w:szCs w:val="22"/>
                <w:lang w:eastAsia="zh-CN"/>
              </w:rPr>
            </w:pPr>
            <w:r w:rsidRPr="008C2F68">
              <w:rPr>
                <w:szCs w:val="22"/>
                <w:lang w:eastAsia="zh-CN"/>
              </w:rPr>
              <w:t>3</w:t>
            </w:r>
            <w:r w:rsidR="00865FDE" w:rsidRPr="008C2F68">
              <w:rPr>
                <w:szCs w:val="22"/>
                <w:lang w:eastAsia="zh-CN"/>
              </w:rPr>
              <w:t>49,999</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rPr>
                <w:szCs w:val="22"/>
              </w:rPr>
            </w:pPr>
            <w:r w:rsidRPr="008C2F68">
              <w:rPr>
                <w:szCs w:val="22"/>
              </w:rPr>
              <w:t>Diluted EPS (</w:t>
            </w:r>
            <w:proofErr w:type="spellStart"/>
            <w:r w:rsidRPr="008C2F68">
              <w:rPr>
                <w:szCs w:val="22"/>
              </w:rPr>
              <w:t>sen</w:t>
            </w:r>
            <w:proofErr w:type="spellEnd"/>
            <w:r w:rsidRPr="008C2F68">
              <w:rPr>
                <w:szCs w:val="22"/>
              </w:rPr>
              <w:t>)</w:t>
            </w:r>
          </w:p>
          <w:p w:rsidR="004B5F5C" w:rsidRPr="008C2F68"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8C2F68" w:rsidRDefault="00587134" w:rsidP="000A4C83">
            <w:pPr>
              <w:pStyle w:val="BodyText"/>
              <w:tabs>
                <w:tab w:val="clear" w:pos="1080"/>
              </w:tabs>
              <w:spacing w:line="233" w:lineRule="auto"/>
              <w:jc w:val="right"/>
              <w:rPr>
                <w:szCs w:val="22"/>
                <w:lang w:eastAsia="zh-CN"/>
              </w:rPr>
            </w:pPr>
            <w:r w:rsidRPr="008C2F68">
              <w:rPr>
                <w:szCs w:val="22"/>
                <w:lang w:eastAsia="zh-CN"/>
              </w:rPr>
              <w:t>0.</w:t>
            </w:r>
            <w:r w:rsidR="000A4C83" w:rsidRPr="008C2F68">
              <w:rPr>
                <w:szCs w:val="22"/>
                <w:lang w:eastAsia="zh-CN"/>
              </w:rPr>
              <w:t>55</w:t>
            </w:r>
          </w:p>
        </w:tc>
        <w:tc>
          <w:tcPr>
            <w:tcW w:w="1620" w:type="dxa"/>
            <w:tcBorders>
              <w:top w:val="single" w:sz="4" w:space="0" w:color="auto"/>
              <w:left w:val="single" w:sz="4" w:space="0" w:color="auto"/>
              <w:bottom w:val="single" w:sz="4" w:space="0" w:color="auto"/>
              <w:right w:val="single" w:sz="4" w:space="0" w:color="auto"/>
            </w:tcBorders>
          </w:tcPr>
          <w:p w:rsidR="004B5F5C" w:rsidRPr="008C2F68" w:rsidRDefault="00CA5DB0" w:rsidP="00096719">
            <w:pPr>
              <w:pStyle w:val="BodyText"/>
              <w:tabs>
                <w:tab w:val="clear" w:pos="1080"/>
              </w:tabs>
              <w:spacing w:line="233" w:lineRule="auto"/>
              <w:jc w:val="right"/>
              <w:rPr>
                <w:szCs w:val="22"/>
                <w:lang w:eastAsia="zh-CN"/>
              </w:rPr>
            </w:pPr>
            <w:r w:rsidRPr="008C2F68">
              <w:rPr>
                <w:szCs w:val="22"/>
                <w:lang w:eastAsia="zh-CN"/>
              </w:rPr>
              <w:t>0.</w:t>
            </w:r>
            <w:r w:rsidR="00E20ABF" w:rsidRPr="008C2F68">
              <w:rPr>
                <w:szCs w:val="22"/>
                <w:lang w:eastAsia="zh-CN"/>
              </w:rPr>
              <w:t>60</w:t>
            </w:r>
          </w:p>
        </w:tc>
        <w:tc>
          <w:tcPr>
            <w:tcW w:w="270"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8C2F68" w:rsidRDefault="004568DF" w:rsidP="004568DF">
            <w:pPr>
              <w:pStyle w:val="BodyText"/>
              <w:tabs>
                <w:tab w:val="clear" w:pos="1080"/>
              </w:tabs>
              <w:spacing w:line="233" w:lineRule="auto"/>
              <w:jc w:val="right"/>
              <w:rPr>
                <w:szCs w:val="22"/>
                <w:lang w:eastAsia="zh-CN"/>
              </w:rPr>
            </w:pPr>
            <w:r w:rsidRPr="008C2F68">
              <w:rPr>
                <w:szCs w:val="22"/>
                <w:lang w:eastAsia="zh-CN"/>
              </w:rPr>
              <w:t>1</w:t>
            </w:r>
            <w:r w:rsidR="00FE2A05" w:rsidRPr="008C2F68">
              <w:rPr>
                <w:szCs w:val="22"/>
                <w:lang w:eastAsia="zh-CN"/>
              </w:rPr>
              <w:t>.</w:t>
            </w:r>
            <w:r w:rsidR="000A4C83" w:rsidRPr="008C2F68">
              <w:rPr>
                <w:szCs w:val="22"/>
                <w:lang w:eastAsia="zh-CN"/>
              </w:rPr>
              <w:t>7</w:t>
            </w:r>
            <w:r w:rsidR="00050402" w:rsidRPr="008C2F68">
              <w:rPr>
                <w:szCs w:val="22"/>
                <w:lang w:eastAsia="zh-CN"/>
              </w:rPr>
              <w:t>3</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865FDE" w:rsidP="00332A24">
            <w:pPr>
              <w:pStyle w:val="BodyText"/>
              <w:tabs>
                <w:tab w:val="clear" w:pos="1080"/>
              </w:tabs>
              <w:spacing w:line="233" w:lineRule="auto"/>
              <w:jc w:val="right"/>
              <w:rPr>
                <w:szCs w:val="22"/>
                <w:lang w:eastAsia="zh-CN"/>
              </w:rPr>
            </w:pPr>
            <w:r w:rsidRPr="008C2F68">
              <w:rPr>
                <w:szCs w:val="22"/>
                <w:lang w:eastAsia="zh-CN"/>
              </w:rPr>
              <w:t>1.42</w:t>
            </w:r>
            <w:bookmarkStart w:id="2" w:name="_GoBack"/>
            <w:bookmarkEnd w:id="2"/>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828D0">
      <w:headerReference w:type="default" r:id="rId9"/>
      <w:footerReference w:type="even" r:id="rId10"/>
      <w:footerReference w:type="default" r:id="rId11"/>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A9" w:rsidRDefault="00F410A9">
      <w:r>
        <w:separator/>
      </w:r>
    </w:p>
  </w:endnote>
  <w:endnote w:type="continuationSeparator" w:id="0">
    <w:p w:rsidR="00F410A9" w:rsidRDefault="00F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9" w:rsidRDefault="00F410A9"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0A9" w:rsidRDefault="00F410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9" w:rsidRDefault="00F410A9"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F68">
      <w:rPr>
        <w:rStyle w:val="PageNumber"/>
        <w:noProof/>
      </w:rPr>
      <w:t>6</w:t>
    </w:r>
    <w:r>
      <w:rPr>
        <w:rStyle w:val="PageNumber"/>
      </w:rPr>
      <w:fldChar w:fldCharType="end"/>
    </w:r>
  </w:p>
  <w:p w:rsidR="00F410A9" w:rsidRDefault="00F410A9">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A9" w:rsidRDefault="00F410A9">
      <w:r>
        <w:separator/>
      </w:r>
    </w:p>
  </w:footnote>
  <w:footnote w:type="continuationSeparator" w:id="0">
    <w:p w:rsidR="00F410A9" w:rsidRDefault="00F4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9" w:rsidRDefault="00F410A9">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31304"/>
    <w:multiLevelType w:val="hybridMultilevel"/>
    <w:tmpl w:val="C1FEA90E"/>
    <w:lvl w:ilvl="0" w:tplc="5FAA5FC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1"/>
  </w:num>
  <w:num w:numId="4">
    <w:abstractNumId w:val="11"/>
  </w:num>
  <w:num w:numId="5">
    <w:abstractNumId w:val="19"/>
  </w:num>
  <w:num w:numId="6">
    <w:abstractNumId w:val="5"/>
  </w:num>
  <w:num w:numId="7">
    <w:abstractNumId w:val="16"/>
  </w:num>
  <w:num w:numId="8">
    <w:abstractNumId w:val="6"/>
  </w:num>
  <w:num w:numId="9">
    <w:abstractNumId w:val="17"/>
  </w:num>
  <w:num w:numId="10">
    <w:abstractNumId w:val="9"/>
  </w:num>
  <w:num w:numId="11">
    <w:abstractNumId w:val="15"/>
  </w:num>
  <w:num w:numId="12">
    <w:abstractNumId w:val="2"/>
  </w:num>
  <w:num w:numId="13">
    <w:abstractNumId w:val="26"/>
  </w:num>
  <w:num w:numId="14">
    <w:abstractNumId w:val="23"/>
  </w:num>
  <w:num w:numId="15">
    <w:abstractNumId w:val="22"/>
  </w:num>
  <w:num w:numId="16">
    <w:abstractNumId w:val="14"/>
  </w:num>
  <w:num w:numId="17">
    <w:abstractNumId w:val="3"/>
  </w:num>
  <w:num w:numId="18">
    <w:abstractNumId w:val="18"/>
  </w:num>
  <w:num w:numId="19">
    <w:abstractNumId w:val="24"/>
  </w:num>
  <w:num w:numId="20">
    <w:abstractNumId w:val="10"/>
  </w:num>
  <w:num w:numId="21">
    <w:abstractNumId w:val="25"/>
  </w:num>
  <w:num w:numId="22">
    <w:abstractNumId w:val="1"/>
  </w:num>
  <w:num w:numId="23">
    <w:abstractNumId w:val="0"/>
  </w:num>
  <w:num w:numId="24">
    <w:abstractNumId w:val="8"/>
  </w:num>
  <w:num w:numId="25">
    <w:abstractNumId w:val="4"/>
  </w:num>
  <w:num w:numId="26">
    <w:abstractNumId w:val="12"/>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1014"/>
    <w:rsid w:val="000038C3"/>
    <w:rsid w:val="00003923"/>
    <w:rsid w:val="00003FCA"/>
    <w:rsid w:val="000044D3"/>
    <w:rsid w:val="00004C3B"/>
    <w:rsid w:val="00004EC3"/>
    <w:rsid w:val="0000564A"/>
    <w:rsid w:val="00005C13"/>
    <w:rsid w:val="0000629B"/>
    <w:rsid w:val="00006373"/>
    <w:rsid w:val="00006531"/>
    <w:rsid w:val="000078C6"/>
    <w:rsid w:val="00007B5C"/>
    <w:rsid w:val="00011196"/>
    <w:rsid w:val="000124A8"/>
    <w:rsid w:val="00012870"/>
    <w:rsid w:val="00012B0D"/>
    <w:rsid w:val="0001465E"/>
    <w:rsid w:val="00014C38"/>
    <w:rsid w:val="00014EC8"/>
    <w:rsid w:val="000165EB"/>
    <w:rsid w:val="00016896"/>
    <w:rsid w:val="00016BA3"/>
    <w:rsid w:val="0001745C"/>
    <w:rsid w:val="00017801"/>
    <w:rsid w:val="000178EB"/>
    <w:rsid w:val="00017C06"/>
    <w:rsid w:val="0002056F"/>
    <w:rsid w:val="00020A15"/>
    <w:rsid w:val="00021AA6"/>
    <w:rsid w:val="00022D61"/>
    <w:rsid w:val="00023369"/>
    <w:rsid w:val="000233F5"/>
    <w:rsid w:val="000241EC"/>
    <w:rsid w:val="00026093"/>
    <w:rsid w:val="000269D6"/>
    <w:rsid w:val="00026BDD"/>
    <w:rsid w:val="00026BE0"/>
    <w:rsid w:val="00030873"/>
    <w:rsid w:val="00030D5F"/>
    <w:rsid w:val="00030E7E"/>
    <w:rsid w:val="00031573"/>
    <w:rsid w:val="000315FB"/>
    <w:rsid w:val="00031E3E"/>
    <w:rsid w:val="000336C7"/>
    <w:rsid w:val="0003379E"/>
    <w:rsid w:val="000344D5"/>
    <w:rsid w:val="000347F4"/>
    <w:rsid w:val="00034BD1"/>
    <w:rsid w:val="00034CA1"/>
    <w:rsid w:val="00034FBC"/>
    <w:rsid w:val="000358EA"/>
    <w:rsid w:val="0004083D"/>
    <w:rsid w:val="00040EAA"/>
    <w:rsid w:val="0004120B"/>
    <w:rsid w:val="000416F2"/>
    <w:rsid w:val="000424A8"/>
    <w:rsid w:val="000429BD"/>
    <w:rsid w:val="00042AB1"/>
    <w:rsid w:val="00042BCF"/>
    <w:rsid w:val="000438AD"/>
    <w:rsid w:val="0004553D"/>
    <w:rsid w:val="0004614C"/>
    <w:rsid w:val="0004662F"/>
    <w:rsid w:val="00046F01"/>
    <w:rsid w:val="0004734F"/>
    <w:rsid w:val="00047933"/>
    <w:rsid w:val="00050394"/>
    <w:rsid w:val="00050402"/>
    <w:rsid w:val="00050702"/>
    <w:rsid w:val="000511DC"/>
    <w:rsid w:val="000512F0"/>
    <w:rsid w:val="00051D1A"/>
    <w:rsid w:val="00052CEE"/>
    <w:rsid w:val="00053439"/>
    <w:rsid w:val="00053C0C"/>
    <w:rsid w:val="00054162"/>
    <w:rsid w:val="00054DAC"/>
    <w:rsid w:val="000555DB"/>
    <w:rsid w:val="00055A7E"/>
    <w:rsid w:val="000564E0"/>
    <w:rsid w:val="00056E8C"/>
    <w:rsid w:val="0006007F"/>
    <w:rsid w:val="00060C01"/>
    <w:rsid w:val="00061BED"/>
    <w:rsid w:val="000631A1"/>
    <w:rsid w:val="00063720"/>
    <w:rsid w:val="0006392D"/>
    <w:rsid w:val="00063D95"/>
    <w:rsid w:val="00063DAD"/>
    <w:rsid w:val="00065099"/>
    <w:rsid w:val="000651EE"/>
    <w:rsid w:val="00065A6C"/>
    <w:rsid w:val="00065EB0"/>
    <w:rsid w:val="00065FD2"/>
    <w:rsid w:val="00067362"/>
    <w:rsid w:val="00067630"/>
    <w:rsid w:val="00067F8B"/>
    <w:rsid w:val="0007072D"/>
    <w:rsid w:val="00071B86"/>
    <w:rsid w:val="00071D5D"/>
    <w:rsid w:val="00072DDA"/>
    <w:rsid w:val="00073BF7"/>
    <w:rsid w:val="00074686"/>
    <w:rsid w:val="00075744"/>
    <w:rsid w:val="00075A74"/>
    <w:rsid w:val="00075F7C"/>
    <w:rsid w:val="00076043"/>
    <w:rsid w:val="000764E3"/>
    <w:rsid w:val="00076C26"/>
    <w:rsid w:val="000770C6"/>
    <w:rsid w:val="000771A2"/>
    <w:rsid w:val="000773F8"/>
    <w:rsid w:val="000779E5"/>
    <w:rsid w:val="00080293"/>
    <w:rsid w:val="000821C4"/>
    <w:rsid w:val="0008254E"/>
    <w:rsid w:val="00082856"/>
    <w:rsid w:val="000829AB"/>
    <w:rsid w:val="00082B22"/>
    <w:rsid w:val="000834D0"/>
    <w:rsid w:val="00084845"/>
    <w:rsid w:val="00086629"/>
    <w:rsid w:val="00087B91"/>
    <w:rsid w:val="0009018B"/>
    <w:rsid w:val="000904E7"/>
    <w:rsid w:val="00090914"/>
    <w:rsid w:val="00091004"/>
    <w:rsid w:val="0009125A"/>
    <w:rsid w:val="00091404"/>
    <w:rsid w:val="0009167A"/>
    <w:rsid w:val="00091A0C"/>
    <w:rsid w:val="000938D3"/>
    <w:rsid w:val="00093910"/>
    <w:rsid w:val="00093F8D"/>
    <w:rsid w:val="00094B42"/>
    <w:rsid w:val="000953AA"/>
    <w:rsid w:val="00095904"/>
    <w:rsid w:val="000961D8"/>
    <w:rsid w:val="00096719"/>
    <w:rsid w:val="00096A77"/>
    <w:rsid w:val="000A0747"/>
    <w:rsid w:val="000A2799"/>
    <w:rsid w:val="000A2F83"/>
    <w:rsid w:val="000A3712"/>
    <w:rsid w:val="000A3E87"/>
    <w:rsid w:val="000A3FF9"/>
    <w:rsid w:val="000A4C83"/>
    <w:rsid w:val="000A4E53"/>
    <w:rsid w:val="000A5357"/>
    <w:rsid w:val="000A5748"/>
    <w:rsid w:val="000A5A0A"/>
    <w:rsid w:val="000A7A28"/>
    <w:rsid w:val="000B038B"/>
    <w:rsid w:val="000B0D60"/>
    <w:rsid w:val="000B14E9"/>
    <w:rsid w:val="000B2756"/>
    <w:rsid w:val="000B2B94"/>
    <w:rsid w:val="000B2EF3"/>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30B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39C5"/>
    <w:rsid w:val="000D41B8"/>
    <w:rsid w:val="000D454E"/>
    <w:rsid w:val="000D465B"/>
    <w:rsid w:val="000D4A18"/>
    <w:rsid w:val="000D4E37"/>
    <w:rsid w:val="000D660A"/>
    <w:rsid w:val="000D6A92"/>
    <w:rsid w:val="000D6B97"/>
    <w:rsid w:val="000D793D"/>
    <w:rsid w:val="000D794D"/>
    <w:rsid w:val="000D7EFF"/>
    <w:rsid w:val="000E0FC6"/>
    <w:rsid w:val="000E130B"/>
    <w:rsid w:val="000E1996"/>
    <w:rsid w:val="000E1FED"/>
    <w:rsid w:val="000E379B"/>
    <w:rsid w:val="000E564A"/>
    <w:rsid w:val="000E7ADF"/>
    <w:rsid w:val="000E7B65"/>
    <w:rsid w:val="000F085B"/>
    <w:rsid w:val="000F0DA6"/>
    <w:rsid w:val="000F1009"/>
    <w:rsid w:val="000F17F8"/>
    <w:rsid w:val="000F1FCB"/>
    <w:rsid w:val="000F245C"/>
    <w:rsid w:val="000F26BB"/>
    <w:rsid w:val="000F294F"/>
    <w:rsid w:val="000F29FB"/>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D52"/>
    <w:rsid w:val="0011194D"/>
    <w:rsid w:val="00111B45"/>
    <w:rsid w:val="00112159"/>
    <w:rsid w:val="001125A8"/>
    <w:rsid w:val="00112F5C"/>
    <w:rsid w:val="00114204"/>
    <w:rsid w:val="001165CE"/>
    <w:rsid w:val="0011693D"/>
    <w:rsid w:val="0012129B"/>
    <w:rsid w:val="00121B86"/>
    <w:rsid w:val="00121D4A"/>
    <w:rsid w:val="00122175"/>
    <w:rsid w:val="001222E6"/>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279"/>
    <w:rsid w:val="00137F5D"/>
    <w:rsid w:val="00140379"/>
    <w:rsid w:val="001413E7"/>
    <w:rsid w:val="00141DF0"/>
    <w:rsid w:val="00141E8F"/>
    <w:rsid w:val="00142150"/>
    <w:rsid w:val="00142400"/>
    <w:rsid w:val="00142D5F"/>
    <w:rsid w:val="00143960"/>
    <w:rsid w:val="00144682"/>
    <w:rsid w:val="0014470A"/>
    <w:rsid w:val="0014479C"/>
    <w:rsid w:val="00144CE9"/>
    <w:rsid w:val="0014572E"/>
    <w:rsid w:val="001457EB"/>
    <w:rsid w:val="001464D8"/>
    <w:rsid w:val="00146E68"/>
    <w:rsid w:val="00150078"/>
    <w:rsid w:val="0015075D"/>
    <w:rsid w:val="00150EBC"/>
    <w:rsid w:val="00151410"/>
    <w:rsid w:val="00152040"/>
    <w:rsid w:val="00152685"/>
    <w:rsid w:val="0015293D"/>
    <w:rsid w:val="0015304A"/>
    <w:rsid w:val="0015386E"/>
    <w:rsid w:val="001538E4"/>
    <w:rsid w:val="0015455F"/>
    <w:rsid w:val="001545CE"/>
    <w:rsid w:val="00154B9D"/>
    <w:rsid w:val="001551FC"/>
    <w:rsid w:val="00155425"/>
    <w:rsid w:val="001561A2"/>
    <w:rsid w:val="001561DE"/>
    <w:rsid w:val="0015693D"/>
    <w:rsid w:val="00157179"/>
    <w:rsid w:val="001575ED"/>
    <w:rsid w:val="001601AB"/>
    <w:rsid w:val="001604A0"/>
    <w:rsid w:val="00160B81"/>
    <w:rsid w:val="00161CF6"/>
    <w:rsid w:val="001623D4"/>
    <w:rsid w:val="00162BD7"/>
    <w:rsid w:val="00162F79"/>
    <w:rsid w:val="00163833"/>
    <w:rsid w:val="00163B4E"/>
    <w:rsid w:val="00163D00"/>
    <w:rsid w:val="00164A41"/>
    <w:rsid w:val="00164FA7"/>
    <w:rsid w:val="0016558A"/>
    <w:rsid w:val="00165810"/>
    <w:rsid w:val="00166294"/>
    <w:rsid w:val="001663C5"/>
    <w:rsid w:val="001664CB"/>
    <w:rsid w:val="00172A9A"/>
    <w:rsid w:val="00172C20"/>
    <w:rsid w:val="00172E9B"/>
    <w:rsid w:val="001734DC"/>
    <w:rsid w:val="00173656"/>
    <w:rsid w:val="00173D38"/>
    <w:rsid w:val="00173E4D"/>
    <w:rsid w:val="00174FBA"/>
    <w:rsid w:val="00175ABB"/>
    <w:rsid w:val="0017652D"/>
    <w:rsid w:val="001767C6"/>
    <w:rsid w:val="001770F1"/>
    <w:rsid w:val="0018183F"/>
    <w:rsid w:val="00182559"/>
    <w:rsid w:val="001829C9"/>
    <w:rsid w:val="001830AF"/>
    <w:rsid w:val="0018360D"/>
    <w:rsid w:val="00185115"/>
    <w:rsid w:val="0018514D"/>
    <w:rsid w:val="00185336"/>
    <w:rsid w:val="001853D9"/>
    <w:rsid w:val="00185549"/>
    <w:rsid w:val="00185D1D"/>
    <w:rsid w:val="001863E7"/>
    <w:rsid w:val="00187304"/>
    <w:rsid w:val="00190331"/>
    <w:rsid w:val="00190B7B"/>
    <w:rsid w:val="00191053"/>
    <w:rsid w:val="0019149A"/>
    <w:rsid w:val="00191951"/>
    <w:rsid w:val="001927A1"/>
    <w:rsid w:val="0019313F"/>
    <w:rsid w:val="001937EF"/>
    <w:rsid w:val="00195EBB"/>
    <w:rsid w:val="00196110"/>
    <w:rsid w:val="001962ED"/>
    <w:rsid w:val="00196399"/>
    <w:rsid w:val="00196CE0"/>
    <w:rsid w:val="00196DBA"/>
    <w:rsid w:val="00196EF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42EF"/>
    <w:rsid w:val="001A45BE"/>
    <w:rsid w:val="001A5C8C"/>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2A57"/>
    <w:rsid w:val="001C3507"/>
    <w:rsid w:val="001C3645"/>
    <w:rsid w:val="001C3CEE"/>
    <w:rsid w:val="001C44A6"/>
    <w:rsid w:val="001C4642"/>
    <w:rsid w:val="001C482C"/>
    <w:rsid w:val="001C637B"/>
    <w:rsid w:val="001C6AF1"/>
    <w:rsid w:val="001C6FF6"/>
    <w:rsid w:val="001C72D3"/>
    <w:rsid w:val="001C7DA9"/>
    <w:rsid w:val="001D2A56"/>
    <w:rsid w:val="001D2AD6"/>
    <w:rsid w:val="001D329D"/>
    <w:rsid w:val="001D3651"/>
    <w:rsid w:val="001D3FF2"/>
    <w:rsid w:val="001D4530"/>
    <w:rsid w:val="001D5C5B"/>
    <w:rsid w:val="001D5E2A"/>
    <w:rsid w:val="001D655D"/>
    <w:rsid w:val="001D667E"/>
    <w:rsid w:val="001D6C82"/>
    <w:rsid w:val="001D6E42"/>
    <w:rsid w:val="001D7322"/>
    <w:rsid w:val="001D75FE"/>
    <w:rsid w:val="001E0A5E"/>
    <w:rsid w:val="001E0CA4"/>
    <w:rsid w:val="001E0EED"/>
    <w:rsid w:val="001E17EC"/>
    <w:rsid w:val="001E28AC"/>
    <w:rsid w:val="001E2E36"/>
    <w:rsid w:val="001E2ED8"/>
    <w:rsid w:val="001E35B9"/>
    <w:rsid w:val="001E4286"/>
    <w:rsid w:val="001E4305"/>
    <w:rsid w:val="001E451D"/>
    <w:rsid w:val="001E4D3F"/>
    <w:rsid w:val="001E55D5"/>
    <w:rsid w:val="001E58B6"/>
    <w:rsid w:val="001E63C7"/>
    <w:rsid w:val="001E6B46"/>
    <w:rsid w:val="001E73E0"/>
    <w:rsid w:val="001F0E1E"/>
    <w:rsid w:val="001F19BE"/>
    <w:rsid w:val="001F1AB2"/>
    <w:rsid w:val="001F284B"/>
    <w:rsid w:val="001F334E"/>
    <w:rsid w:val="001F378F"/>
    <w:rsid w:val="001F3B7C"/>
    <w:rsid w:val="001F3F78"/>
    <w:rsid w:val="001F43CA"/>
    <w:rsid w:val="001F45D1"/>
    <w:rsid w:val="001F53CF"/>
    <w:rsid w:val="001F5D78"/>
    <w:rsid w:val="001F5DEB"/>
    <w:rsid w:val="001F5F81"/>
    <w:rsid w:val="001F6A5A"/>
    <w:rsid w:val="001F6C0F"/>
    <w:rsid w:val="002006B0"/>
    <w:rsid w:val="002017F6"/>
    <w:rsid w:val="0020279A"/>
    <w:rsid w:val="002028A6"/>
    <w:rsid w:val="00202B79"/>
    <w:rsid w:val="00202BF3"/>
    <w:rsid w:val="00202D96"/>
    <w:rsid w:val="002047EB"/>
    <w:rsid w:val="002048F0"/>
    <w:rsid w:val="00204902"/>
    <w:rsid w:val="00205EB0"/>
    <w:rsid w:val="00205FEA"/>
    <w:rsid w:val="002068DB"/>
    <w:rsid w:val="00206E83"/>
    <w:rsid w:val="002071BD"/>
    <w:rsid w:val="0021197A"/>
    <w:rsid w:val="00211E9E"/>
    <w:rsid w:val="002144CF"/>
    <w:rsid w:val="00214D29"/>
    <w:rsid w:val="0021502D"/>
    <w:rsid w:val="002157FA"/>
    <w:rsid w:val="00215950"/>
    <w:rsid w:val="00215E4F"/>
    <w:rsid w:val="00215FF6"/>
    <w:rsid w:val="00216219"/>
    <w:rsid w:val="00216F1A"/>
    <w:rsid w:val="00217808"/>
    <w:rsid w:val="002203E6"/>
    <w:rsid w:val="002206AB"/>
    <w:rsid w:val="0022591F"/>
    <w:rsid w:val="002269F1"/>
    <w:rsid w:val="00227D6D"/>
    <w:rsid w:val="002301C9"/>
    <w:rsid w:val="002303BB"/>
    <w:rsid w:val="0023134B"/>
    <w:rsid w:val="00231435"/>
    <w:rsid w:val="00232748"/>
    <w:rsid w:val="00232FD0"/>
    <w:rsid w:val="00233BDC"/>
    <w:rsid w:val="0023453F"/>
    <w:rsid w:val="002358A2"/>
    <w:rsid w:val="002364F1"/>
    <w:rsid w:val="00236ECD"/>
    <w:rsid w:val="00237156"/>
    <w:rsid w:val="00237162"/>
    <w:rsid w:val="00237804"/>
    <w:rsid w:val="00237D55"/>
    <w:rsid w:val="00240E6A"/>
    <w:rsid w:val="00241358"/>
    <w:rsid w:val="002413EB"/>
    <w:rsid w:val="002420DA"/>
    <w:rsid w:val="002425E2"/>
    <w:rsid w:val="00242ADF"/>
    <w:rsid w:val="00243396"/>
    <w:rsid w:val="00244371"/>
    <w:rsid w:val="00244647"/>
    <w:rsid w:val="0024587F"/>
    <w:rsid w:val="00245C98"/>
    <w:rsid w:val="00245EE9"/>
    <w:rsid w:val="00247081"/>
    <w:rsid w:val="00247317"/>
    <w:rsid w:val="00250B89"/>
    <w:rsid w:val="00250F81"/>
    <w:rsid w:val="0025159F"/>
    <w:rsid w:val="0025161A"/>
    <w:rsid w:val="00251BDB"/>
    <w:rsid w:val="00251D21"/>
    <w:rsid w:val="00252C72"/>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443F"/>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EE5"/>
    <w:rsid w:val="0027363A"/>
    <w:rsid w:val="00275471"/>
    <w:rsid w:val="00275A7A"/>
    <w:rsid w:val="00276393"/>
    <w:rsid w:val="002767ED"/>
    <w:rsid w:val="00277976"/>
    <w:rsid w:val="00277FDB"/>
    <w:rsid w:val="00281522"/>
    <w:rsid w:val="002817FC"/>
    <w:rsid w:val="00283C02"/>
    <w:rsid w:val="00284B25"/>
    <w:rsid w:val="00285305"/>
    <w:rsid w:val="0028584D"/>
    <w:rsid w:val="0028604C"/>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663C"/>
    <w:rsid w:val="002974AF"/>
    <w:rsid w:val="00297E5A"/>
    <w:rsid w:val="00297FF9"/>
    <w:rsid w:val="002A0C22"/>
    <w:rsid w:val="002A128C"/>
    <w:rsid w:val="002A1BDC"/>
    <w:rsid w:val="002A232B"/>
    <w:rsid w:val="002A258F"/>
    <w:rsid w:val="002A3431"/>
    <w:rsid w:val="002A3D59"/>
    <w:rsid w:val="002A45EC"/>
    <w:rsid w:val="002A49A1"/>
    <w:rsid w:val="002A51AC"/>
    <w:rsid w:val="002A5BBA"/>
    <w:rsid w:val="002A5F84"/>
    <w:rsid w:val="002A6DB4"/>
    <w:rsid w:val="002A73CA"/>
    <w:rsid w:val="002A76BE"/>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EE6"/>
    <w:rsid w:val="002B7F9C"/>
    <w:rsid w:val="002C0209"/>
    <w:rsid w:val="002C1498"/>
    <w:rsid w:val="002C1582"/>
    <w:rsid w:val="002C17C8"/>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9C"/>
    <w:rsid w:val="002D3D46"/>
    <w:rsid w:val="002D42D3"/>
    <w:rsid w:val="002D48DD"/>
    <w:rsid w:val="002D5D2B"/>
    <w:rsid w:val="002D5E21"/>
    <w:rsid w:val="002D62A0"/>
    <w:rsid w:val="002E0BE3"/>
    <w:rsid w:val="002E1BA8"/>
    <w:rsid w:val="002E29A8"/>
    <w:rsid w:val="002E3AF5"/>
    <w:rsid w:val="002E4042"/>
    <w:rsid w:val="002E422A"/>
    <w:rsid w:val="002E44B8"/>
    <w:rsid w:val="002E541E"/>
    <w:rsid w:val="002E5939"/>
    <w:rsid w:val="002E695A"/>
    <w:rsid w:val="002E6F18"/>
    <w:rsid w:val="002F17E0"/>
    <w:rsid w:val="002F1B9C"/>
    <w:rsid w:val="002F33C0"/>
    <w:rsid w:val="002F4A4B"/>
    <w:rsid w:val="002F575B"/>
    <w:rsid w:val="002F64D3"/>
    <w:rsid w:val="002F6626"/>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0B48"/>
    <w:rsid w:val="00311DAB"/>
    <w:rsid w:val="0031295B"/>
    <w:rsid w:val="00312ADF"/>
    <w:rsid w:val="00313E87"/>
    <w:rsid w:val="00314475"/>
    <w:rsid w:val="0031477F"/>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A24"/>
    <w:rsid w:val="00332C56"/>
    <w:rsid w:val="003335D8"/>
    <w:rsid w:val="00333E05"/>
    <w:rsid w:val="00333EF5"/>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02"/>
    <w:rsid w:val="00352DAB"/>
    <w:rsid w:val="00353FF8"/>
    <w:rsid w:val="0035470F"/>
    <w:rsid w:val="00354B95"/>
    <w:rsid w:val="0035554E"/>
    <w:rsid w:val="003557EC"/>
    <w:rsid w:val="003558B3"/>
    <w:rsid w:val="0035604B"/>
    <w:rsid w:val="00356449"/>
    <w:rsid w:val="00356E26"/>
    <w:rsid w:val="00357120"/>
    <w:rsid w:val="00360F89"/>
    <w:rsid w:val="00361A52"/>
    <w:rsid w:val="00361B3A"/>
    <w:rsid w:val="00362572"/>
    <w:rsid w:val="00363ED3"/>
    <w:rsid w:val="00365255"/>
    <w:rsid w:val="00365761"/>
    <w:rsid w:val="00365DBE"/>
    <w:rsid w:val="00365DF9"/>
    <w:rsid w:val="003666AA"/>
    <w:rsid w:val="00366910"/>
    <w:rsid w:val="00366C16"/>
    <w:rsid w:val="00366F47"/>
    <w:rsid w:val="003672F0"/>
    <w:rsid w:val="00367423"/>
    <w:rsid w:val="00367610"/>
    <w:rsid w:val="00367F62"/>
    <w:rsid w:val="00372660"/>
    <w:rsid w:val="00372D91"/>
    <w:rsid w:val="00372E29"/>
    <w:rsid w:val="00373019"/>
    <w:rsid w:val="00373057"/>
    <w:rsid w:val="00373817"/>
    <w:rsid w:val="00373D5C"/>
    <w:rsid w:val="0037606C"/>
    <w:rsid w:val="00376676"/>
    <w:rsid w:val="00376B77"/>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B51"/>
    <w:rsid w:val="00390B45"/>
    <w:rsid w:val="003915EA"/>
    <w:rsid w:val="00391EEA"/>
    <w:rsid w:val="00392013"/>
    <w:rsid w:val="00392025"/>
    <w:rsid w:val="0039203D"/>
    <w:rsid w:val="00393FC5"/>
    <w:rsid w:val="00394E5D"/>
    <w:rsid w:val="00395633"/>
    <w:rsid w:val="00396CF0"/>
    <w:rsid w:val="00397130"/>
    <w:rsid w:val="00397318"/>
    <w:rsid w:val="003976BD"/>
    <w:rsid w:val="003976C3"/>
    <w:rsid w:val="003A0EA5"/>
    <w:rsid w:val="003A1CC2"/>
    <w:rsid w:val="003A1F80"/>
    <w:rsid w:val="003A406A"/>
    <w:rsid w:val="003A4171"/>
    <w:rsid w:val="003A51C3"/>
    <w:rsid w:val="003A53B9"/>
    <w:rsid w:val="003A64BB"/>
    <w:rsid w:val="003A6C50"/>
    <w:rsid w:val="003A72F9"/>
    <w:rsid w:val="003A7A64"/>
    <w:rsid w:val="003B00E8"/>
    <w:rsid w:val="003B0393"/>
    <w:rsid w:val="003B0D16"/>
    <w:rsid w:val="003B10E2"/>
    <w:rsid w:val="003B24D0"/>
    <w:rsid w:val="003B26C8"/>
    <w:rsid w:val="003B2CEB"/>
    <w:rsid w:val="003B2F41"/>
    <w:rsid w:val="003B3807"/>
    <w:rsid w:val="003B5FEC"/>
    <w:rsid w:val="003B6112"/>
    <w:rsid w:val="003B61B7"/>
    <w:rsid w:val="003B6E90"/>
    <w:rsid w:val="003B74E7"/>
    <w:rsid w:val="003C0144"/>
    <w:rsid w:val="003C1A25"/>
    <w:rsid w:val="003C2151"/>
    <w:rsid w:val="003C2DE1"/>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93A"/>
    <w:rsid w:val="003D6E46"/>
    <w:rsid w:val="003D709F"/>
    <w:rsid w:val="003E0365"/>
    <w:rsid w:val="003E0C58"/>
    <w:rsid w:val="003E1075"/>
    <w:rsid w:val="003E1307"/>
    <w:rsid w:val="003E135A"/>
    <w:rsid w:val="003E1C9E"/>
    <w:rsid w:val="003E21B4"/>
    <w:rsid w:val="003E2A59"/>
    <w:rsid w:val="003E2CE6"/>
    <w:rsid w:val="003E3222"/>
    <w:rsid w:val="003E38C7"/>
    <w:rsid w:val="003E3DE0"/>
    <w:rsid w:val="003E452B"/>
    <w:rsid w:val="003E45B1"/>
    <w:rsid w:val="003E4D20"/>
    <w:rsid w:val="003E5929"/>
    <w:rsid w:val="003E5D06"/>
    <w:rsid w:val="003E755B"/>
    <w:rsid w:val="003E7796"/>
    <w:rsid w:val="003E7937"/>
    <w:rsid w:val="003E7FF3"/>
    <w:rsid w:val="003F03E4"/>
    <w:rsid w:val="003F0C2B"/>
    <w:rsid w:val="003F15A9"/>
    <w:rsid w:val="003F22D2"/>
    <w:rsid w:val="003F2ED5"/>
    <w:rsid w:val="003F5168"/>
    <w:rsid w:val="003F52B6"/>
    <w:rsid w:val="003F78D5"/>
    <w:rsid w:val="003F7940"/>
    <w:rsid w:val="003F7F09"/>
    <w:rsid w:val="004001AD"/>
    <w:rsid w:val="004002B5"/>
    <w:rsid w:val="00400587"/>
    <w:rsid w:val="00401014"/>
    <w:rsid w:val="00401F88"/>
    <w:rsid w:val="00402569"/>
    <w:rsid w:val="00402816"/>
    <w:rsid w:val="00402CAD"/>
    <w:rsid w:val="00402FE7"/>
    <w:rsid w:val="00403A5F"/>
    <w:rsid w:val="00403F7E"/>
    <w:rsid w:val="0040448E"/>
    <w:rsid w:val="00405197"/>
    <w:rsid w:val="00405E19"/>
    <w:rsid w:val="004061DF"/>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72D3"/>
    <w:rsid w:val="004373E6"/>
    <w:rsid w:val="004378BB"/>
    <w:rsid w:val="00437EB5"/>
    <w:rsid w:val="00440A5D"/>
    <w:rsid w:val="00440D49"/>
    <w:rsid w:val="0044160E"/>
    <w:rsid w:val="00443B5C"/>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BAA"/>
    <w:rsid w:val="004564D5"/>
    <w:rsid w:val="004567BB"/>
    <w:rsid w:val="004568DF"/>
    <w:rsid w:val="00456FC8"/>
    <w:rsid w:val="00457906"/>
    <w:rsid w:val="00457BD4"/>
    <w:rsid w:val="0046046F"/>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FCA"/>
    <w:rsid w:val="00466376"/>
    <w:rsid w:val="00467E76"/>
    <w:rsid w:val="0047030A"/>
    <w:rsid w:val="004709B6"/>
    <w:rsid w:val="0047148D"/>
    <w:rsid w:val="00471C67"/>
    <w:rsid w:val="00472A97"/>
    <w:rsid w:val="00473592"/>
    <w:rsid w:val="0047366B"/>
    <w:rsid w:val="00474AFC"/>
    <w:rsid w:val="004760DA"/>
    <w:rsid w:val="00476380"/>
    <w:rsid w:val="00477EE3"/>
    <w:rsid w:val="00480353"/>
    <w:rsid w:val="00480DC3"/>
    <w:rsid w:val="004819A6"/>
    <w:rsid w:val="00482445"/>
    <w:rsid w:val="004838F0"/>
    <w:rsid w:val="004853DD"/>
    <w:rsid w:val="004856AF"/>
    <w:rsid w:val="00486EF0"/>
    <w:rsid w:val="00487400"/>
    <w:rsid w:val="00487716"/>
    <w:rsid w:val="004879CF"/>
    <w:rsid w:val="00487FD4"/>
    <w:rsid w:val="00490402"/>
    <w:rsid w:val="00490728"/>
    <w:rsid w:val="004918EC"/>
    <w:rsid w:val="00492AEB"/>
    <w:rsid w:val="00494169"/>
    <w:rsid w:val="00494CC4"/>
    <w:rsid w:val="00494EFF"/>
    <w:rsid w:val="004955F4"/>
    <w:rsid w:val="004958C3"/>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6657"/>
    <w:rsid w:val="004B753E"/>
    <w:rsid w:val="004B76A9"/>
    <w:rsid w:val="004B7C0C"/>
    <w:rsid w:val="004B7F0C"/>
    <w:rsid w:val="004C0BAA"/>
    <w:rsid w:val="004C143E"/>
    <w:rsid w:val="004C1F93"/>
    <w:rsid w:val="004C202B"/>
    <w:rsid w:val="004C3A9C"/>
    <w:rsid w:val="004C4341"/>
    <w:rsid w:val="004C4839"/>
    <w:rsid w:val="004C4AB0"/>
    <w:rsid w:val="004C4B5C"/>
    <w:rsid w:val="004C5326"/>
    <w:rsid w:val="004C53A9"/>
    <w:rsid w:val="004C5CDA"/>
    <w:rsid w:val="004C7705"/>
    <w:rsid w:val="004C7C8B"/>
    <w:rsid w:val="004D013F"/>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7974"/>
    <w:rsid w:val="004E0C59"/>
    <w:rsid w:val="004E111F"/>
    <w:rsid w:val="004E1A58"/>
    <w:rsid w:val="004E2923"/>
    <w:rsid w:val="004E2C05"/>
    <w:rsid w:val="004E33BF"/>
    <w:rsid w:val="004E4330"/>
    <w:rsid w:val="004E496E"/>
    <w:rsid w:val="004E4981"/>
    <w:rsid w:val="004E6E16"/>
    <w:rsid w:val="004E7462"/>
    <w:rsid w:val="004E7A10"/>
    <w:rsid w:val="004E7AA5"/>
    <w:rsid w:val="004F0392"/>
    <w:rsid w:val="004F1008"/>
    <w:rsid w:val="004F1B1A"/>
    <w:rsid w:val="004F2D68"/>
    <w:rsid w:val="004F347C"/>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7BF"/>
    <w:rsid w:val="0050399B"/>
    <w:rsid w:val="00504760"/>
    <w:rsid w:val="00505BA0"/>
    <w:rsid w:val="005066C1"/>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1949"/>
    <w:rsid w:val="0052247A"/>
    <w:rsid w:val="00522AE3"/>
    <w:rsid w:val="00522BD9"/>
    <w:rsid w:val="00522DAB"/>
    <w:rsid w:val="0052315D"/>
    <w:rsid w:val="00523A4C"/>
    <w:rsid w:val="005247F5"/>
    <w:rsid w:val="005254F7"/>
    <w:rsid w:val="00526F0D"/>
    <w:rsid w:val="00527EFF"/>
    <w:rsid w:val="005302AD"/>
    <w:rsid w:val="0053031F"/>
    <w:rsid w:val="00530ED6"/>
    <w:rsid w:val="00531589"/>
    <w:rsid w:val="00532A1D"/>
    <w:rsid w:val="00534864"/>
    <w:rsid w:val="00534E4A"/>
    <w:rsid w:val="0053559F"/>
    <w:rsid w:val="00536067"/>
    <w:rsid w:val="00536670"/>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2372"/>
    <w:rsid w:val="00552A18"/>
    <w:rsid w:val="00552BCA"/>
    <w:rsid w:val="00553EA9"/>
    <w:rsid w:val="0055488C"/>
    <w:rsid w:val="00554BB8"/>
    <w:rsid w:val="005554D6"/>
    <w:rsid w:val="0055589F"/>
    <w:rsid w:val="0055593B"/>
    <w:rsid w:val="00556142"/>
    <w:rsid w:val="005567E6"/>
    <w:rsid w:val="0056072E"/>
    <w:rsid w:val="005608DF"/>
    <w:rsid w:val="005609D4"/>
    <w:rsid w:val="00560E63"/>
    <w:rsid w:val="00560FFC"/>
    <w:rsid w:val="005621AE"/>
    <w:rsid w:val="005622B0"/>
    <w:rsid w:val="005624F0"/>
    <w:rsid w:val="00562858"/>
    <w:rsid w:val="00563071"/>
    <w:rsid w:val="00563F20"/>
    <w:rsid w:val="00564BEB"/>
    <w:rsid w:val="00566AC8"/>
    <w:rsid w:val="005674D8"/>
    <w:rsid w:val="005677CB"/>
    <w:rsid w:val="0057008C"/>
    <w:rsid w:val="00570A99"/>
    <w:rsid w:val="00571000"/>
    <w:rsid w:val="00571146"/>
    <w:rsid w:val="005713DD"/>
    <w:rsid w:val="00572508"/>
    <w:rsid w:val="00572592"/>
    <w:rsid w:val="005725C5"/>
    <w:rsid w:val="00572698"/>
    <w:rsid w:val="00572C57"/>
    <w:rsid w:val="005730EF"/>
    <w:rsid w:val="00574250"/>
    <w:rsid w:val="00574545"/>
    <w:rsid w:val="00574891"/>
    <w:rsid w:val="00574E37"/>
    <w:rsid w:val="0057548D"/>
    <w:rsid w:val="005758BC"/>
    <w:rsid w:val="00576560"/>
    <w:rsid w:val="0058003E"/>
    <w:rsid w:val="00580A62"/>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134"/>
    <w:rsid w:val="00587A74"/>
    <w:rsid w:val="00587DE0"/>
    <w:rsid w:val="00590514"/>
    <w:rsid w:val="00590870"/>
    <w:rsid w:val="00591091"/>
    <w:rsid w:val="00591A9D"/>
    <w:rsid w:val="00592770"/>
    <w:rsid w:val="00592E95"/>
    <w:rsid w:val="005933FB"/>
    <w:rsid w:val="0059364E"/>
    <w:rsid w:val="00594599"/>
    <w:rsid w:val="005946F4"/>
    <w:rsid w:val="00595B12"/>
    <w:rsid w:val="005963E5"/>
    <w:rsid w:val="005978F7"/>
    <w:rsid w:val="00597A64"/>
    <w:rsid w:val="00597D46"/>
    <w:rsid w:val="005A0097"/>
    <w:rsid w:val="005A012A"/>
    <w:rsid w:val="005A086D"/>
    <w:rsid w:val="005A129D"/>
    <w:rsid w:val="005A1E26"/>
    <w:rsid w:val="005A20D9"/>
    <w:rsid w:val="005A23E5"/>
    <w:rsid w:val="005A2421"/>
    <w:rsid w:val="005A2503"/>
    <w:rsid w:val="005A28DC"/>
    <w:rsid w:val="005A3851"/>
    <w:rsid w:val="005A3F3C"/>
    <w:rsid w:val="005A4447"/>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517B"/>
    <w:rsid w:val="005B529A"/>
    <w:rsid w:val="005B5743"/>
    <w:rsid w:val="005B5BC6"/>
    <w:rsid w:val="005B66E9"/>
    <w:rsid w:val="005B76B6"/>
    <w:rsid w:val="005B7753"/>
    <w:rsid w:val="005B78F1"/>
    <w:rsid w:val="005C05BE"/>
    <w:rsid w:val="005C246B"/>
    <w:rsid w:val="005C3C7A"/>
    <w:rsid w:val="005C45CF"/>
    <w:rsid w:val="005C4C8F"/>
    <w:rsid w:val="005C6403"/>
    <w:rsid w:val="005C6534"/>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775"/>
    <w:rsid w:val="005E1279"/>
    <w:rsid w:val="005E1BA3"/>
    <w:rsid w:val="005E22EF"/>
    <w:rsid w:val="005E2394"/>
    <w:rsid w:val="005E23AB"/>
    <w:rsid w:val="005E2501"/>
    <w:rsid w:val="005E2862"/>
    <w:rsid w:val="005E2F9D"/>
    <w:rsid w:val="005E3277"/>
    <w:rsid w:val="005E3281"/>
    <w:rsid w:val="005E5445"/>
    <w:rsid w:val="005E67E4"/>
    <w:rsid w:val="005E7422"/>
    <w:rsid w:val="005E7B96"/>
    <w:rsid w:val="005E7F60"/>
    <w:rsid w:val="005F1D7E"/>
    <w:rsid w:val="005F2305"/>
    <w:rsid w:val="005F280C"/>
    <w:rsid w:val="005F2E82"/>
    <w:rsid w:val="005F3E58"/>
    <w:rsid w:val="005F470F"/>
    <w:rsid w:val="005F47AA"/>
    <w:rsid w:val="005F4B49"/>
    <w:rsid w:val="005F54CD"/>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7CB"/>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AEE"/>
    <w:rsid w:val="00630DDD"/>
    <w:rsid w:val="00631578"/>
    <w:rsid w:val="00631B07"/>
    <w:rsid w:val="006326F0"/>
    <w:rsid w:val="00632726"/>
    <w:rsid w:val="00633442"/>
    <w:rsid w:val="006349A3"/>
    <w:rsid w:val="006353D4"/>
    <w:rsid w:val="006354CD"/>
    <w:rsid w:val="00636A1D"/>
    <w:rsid w:val="00637A2D"/>
    <w:rsid w:val="00640274"/>
    <w:rsid w:val="00640DD4"/>
    <w:rsid w:val="006410F2"/>
    <w:rsid w:val="006423D6"/>
    <w:rsid w:val="006439C6"/>
    <w:rsid w:val="00644E3D"/>
    <w:rsid w:val="00646280"/>
    <w:rsid w:val="006468D0"/>
    <w:rsid w:val="006469E4"/>
    <w:rsid w:val="006474DA"/>
    <w:rsid w:val="006475A2"/>
    <w:rsid w:val="006476C2"/>
    <w:rsid w:val="00647769"/>
    <w:rsid w:val="00650FAD"/>
    <w:rsid w:val="00651B9C"/>
    <w:rsid w:val="00651DA0"/>
    <w:rsid w:val="0065235F"/>
    <w:rsid w:val="00653094"/>
    <w:rsid w:val="0065379D"/>
    <w:rsid w:val="00655118"/>
    <w:rsid w:val="006559C6"/>
    <w:rsid w:val="00655C2A"/>
    <w:rsid w:val="00656078"/>
    <w:rsid w:val="006569D2"/>
    <w:rsid w:val="00656DB9"/>
    <w:rsid w:val="006574BA"/>
    <w:rsid w:val="006574D9"/>
    <w:rsid w:val="006600C2"/>
    <w:rsid w:val="00660726"/>
    <w:rsid w:val="00660750"/>
    <w:rsid w:val="00661D3B"/>
    <w:rsid w:val="006625C7"/>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77C"/>
    <w:rsid w:val="00677B8F"/>
    <w:rsid w:val="00680057"/>
    <w:rsid w:val="006810ED"/>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6E6"/>
    <w:rsid w:val="00695C78"/>
    <w:rsid w:val="0069673D"/>
    <w:rsid w:val="006A02A9"/>
    <w:rsid w:val="006A06BD"/>
    <w:rsid w:val="006A08B0"/>
    <w:rsid w:val="006A1171"/>
    <w:rsid w:val="006A2B02"/>
    <w:rsid w:val="006A389E"/>
    <w:rsid w:val="006A4BF4"/>
    <w:rsid w:val="006A51A7"/>
    <w:rsid w:val="006A5681"/>
    <w:rsid w:val="006A5A8E"/>
    <w:rsid w:val="006A6A6D"/>
    <w:rsid w:val="006A6AE2"/>
    <w:rsid w:val="006A7441"/>
    <w:rsid w:val="006A7AF9"/>
    <w:rsid w:val="006A7FB3"/>
    <w:rsid w:val="006B034F"/>
    <w:rsid w:val="006B0A12"/>
    <w:rsid w:val="006B0ED6"/>
    <w:rsid w:val="006B176C"/>
    <w:rsid w:val="006B1962"/>
    <w:rsid w:val="006B1F24"/>
    <w:rsid w:val="006B2473"/>
    <w:rsid w:val="006B264F"/>
    <w:rsid w:val="006B3054"/>
    <w:rsid w:val="006B3513"/>
    <w:rsid w:val="006B38B2"/>
    <w:rsid w:val="006B4997"/>
    <w:rsid w:val="006B4E86"/>
    <w:rsid w:val="006B54CF"/>
    <w:rsid w:val="006B5C95"/>
    <w:rsid w:val="006B63D1"/>
    <w:rsid w:val="006B7074"/>
    <w:rsid w:val="006B736C"/>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2156"/>
    <w:rsid w:val="006D36BA"/>
    <w:rsid w:val="006D3F81"/>
    <w:rsid w:val="006D5E45"/>
    <w:rsid w:val="006D6315"/>
    <w:rsid w:val="006D6456"/>
    <w:rsid w:val="006D694A"/>
    <w:rsid w:val="006D69A9"/>
    <w:rsid w:val="006D724A"/>
    <w:rsid w:val="006D7C82"/>
    <w:rsid w:val="006E05EB"/>
    <w:rsid w:val="006E0B1B"/>
    <w:rsid w:val="006E0CD6"/>
    <w:rsid w:val="006E0F19"/>
    <w:rsid w:val="006E0FA3"/>
    <w:rsid w:val="006E19D2"/>
    <w:rsid w:val="006E1DBB"/>
    <w:rsid w:val="006E1E15"/>
    <w:rsid w:val="006E38BC"/>
    <w:rsid w:val="006E45AB"/>
    <w:rsid w:val="006E4BC4"/>
    <w:rsid w:val="006E55C2"/>
    <w:rsid w:val="006E6440"/>
    <w:rsid w:val="006E78B4"/>
    <w:rsid w:val="006F00C0"/>
    <w:rsid w:val="006F0E7B"/>
    <w:rsid w:val="006F1197"/>
    <w:rsid w:val="006F13A1"/>
    <w:rsid w:val="006F1878"/>
    <w:rsid w:val="006F1967"/>
    <w:rsid w:val="006F1D2B"/>
    <w:rsid w:val="006F2535"/>
    <w:rsid w:val="006F3280"/>
    <w:rsid w:val="006F4070"/>
    <w:rsid w:val="006F4856"/>
    <w:rsid w:val="006F4D3D"/>
    <w:rsid w:val="006F5373"/>
    <w:rsid w:val="006F5649"/>
    <w:rsid w:val="006F5879"/>
    <w:rsid w:val="006F643B"/>
    <w:rsid w:val="006F6E08"/>
    <w:rsid w:val="00700106"/>
    <w:rsid w:val="007007BF"/>
    <w:rsid w:val="00700ABC"/>
    <w:rsid w:val="00700F48"/>
    <w:rsid w:val="00702A8B"/>
    <w:rsid w:val="0070362D"/>
    <w:rsid w:val="00703713"/>
    <w:rsid w:val="00704B80"/>
    <w:rsid w:val="00704EF8"/>
    <w:rsid w:val="007051AC"/>
    <w:rsid w:val="00705C2F"/>
    <w:rsid w:val="00707206"/>
    <w:rsid w:val="0070735F"/>
    <w:rsid w:val="00707735"/>
    <w:rsid w:val="00707847"/>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A79"/>
    <w:rsid w:val="007232D3"/>
    <w:rsid w:val="00723413"/>
    <w:rsid w:val="00723E1F"/>
    <w:rsid w:val="0072409C"/>
    <w:rsid w:val="007243C6"/>
    <w:rsid w:val="007256FF"/>
    <w:rsid w:val="00725892"/>
    <w:rsid w:val="007258D1"/>
    <w:rsid w:val="0072596C"/>
    <w:rsid w:val="00725C33"/>
    <w:rsid w:val="00725D9F"/>
    <w:rsid w:val="007267D1"/>
    <w:rsid w:val="00726DBB"/>
    <w:rsid w:val="00726E97"/>
    <w:rsid w:val="00727671"/>
    <w:rsid w:val="00727B3A"/>
    <w:rsid w:val="007306D4"/>
    <w:rsid w:val="00730DC5"/>
    <w:rsid w:val="00731D8F"/>
    <w:rsid w:val="007333A4"/>
    <w:rsid w:val="00733672"/>
    <w:rsid w:val="00733CD2"/>
    <w:rsid w:val="00733E3F"/>
    <w:rsid w:val="00734131"/>
    <w:rsid w:val="007348F8"/>
    <w:rsid w:val="00734A4B"/>
    <w:rsid w:val="007357D2"/>
    <w:rsid w:val="00735A6C"/>
    <w:rsid w:val="00735B5A"/>
    <w:rsid w:val="00736D82"/>
    <w:rsid w:val="00740048"/>
    <w:rsid w:val="00740424"/>
    <w:rsid w:val="00740C7E"/>
    <w:rsid w:val="00741307"/>
    <w:rsid w:val="00741C0F"/>
    <w:rsid w:val="00743425"/>
    <w:rsid w:val="00743507"/>
    <w:rsid w:val="00743CDF"/>
    <w:rsid w:val="007445CA"/>
    <w:rsid w:val="00744ADF"/>
    <w:rsid w:val="00744F09"/>
    <w:rsid w:val="00744F6C"/>
    <w:rsid w:val="00744FF9"/>
    <w:rsid w:val="00745178"/>
    <w:rsid w:val="00746E02"/>
    <w:rsid w:val="00747507"/>
    <w:rsid w:val="0074761C"/>
    <w:rsid w:val="00747CCF"/>
    <w:rsid w:val="00750F9B"/>
    <w:rsid w:val="007512A6"/>
    <w:rsid w:val="00751546"/>
    <w:rsid w:val="00752F0D"/>
    <w:rsid w:val="00753D26"/>
    <w:rsid w:val="0075444B"/>
    <w:rsid w:val="0075450D"/>
    <w:rsid w:val="0075468F"/>
    <w:rsid w:val="0075479E"/>
    <w:rsid w:val="00754DCD"/>
    <w:rsid w:val="007550BB"/>
    <w:rsid w:val="0075525C"/>
    <w:rsid w:val="00756500"/>
    <w:rsid w:val="0075755B"/>
    <w:rsid w:val="007576DE"/>
    <w:rsid w:val="00760CB5"/>
    <w:rsid w:val="007613BC"/>
    <w:rsid w:val="00762027"/>
    <w:rsid w:val="00762081"/>
    <w:rsid w:val="007622A2"/>
    <w:rsid w:val="007628B3"/>
    <w:rsid w:val="00763903"/>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D30"/>
    <w:rsid w:val="007900AB"/>
    <w:rsid w:val="007918B4"/>
    <w:rsid w:val="00791BB8"/>
    <w:rsid w:val="007922EA"/>
    <w:rsid w:val="0079419C"/>
    <w:rsid w:val="00794648"/>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5C08"/>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5C1C"/>
    <w:rsid w:val="007B61AA"/>
    <w:rsid w:val="007B6696"/>
    <w:rsid w:val="007B6C76"/>
    <w:rsid w:val="007B6D6B"/>
    <w:rsid w:val="007B73FD"/>
    <w:rsid w:val="007C0432"/>
    <w:rsid w:val="007C04CA"/>
    <w:rsid w:val="007C07BC"/>
    <w:rsid w:val="007C09A8"/>
    <w:rsid w:val="007C0A57"/>
    <w:rsid w:val="007C1121"/>
    <w:rsid w:val="007C164D"/>
    <w:rsid w:val="007C2EBC"/>
    <w:rsid w:val="007C39F6"/>
    <w:rsid w:val="007C41C4"/>
    <w:rsid w:val="007C5939"/>
    <w:rsid w:val="007C5DC2"/>
    <w:rsid w:val="007C5E96"/>
    <w:rsid w:val="007C6405"/>
    <w:rsid w:val="007C6EEF"/>
    <w:rsid w:val="007C79C9"/>
    <w:rsid w:val="007D0841"/>
    <w:rsid w:val="007D0DA9"/>
    <w:rsid w:val="007D19F6"/>
    <w:rsid w:val="007D1A7A"/>
    <w:rsid w:val="007D1ABF"/>
    <w:rsid w:val="007D2129"/>
    <w:rsid w:val="007D343B"/>
    <w:rsid w:val="007D510F"/>
    <w:rsid w:val="007D5B68"/>
    <w:rsid w:val="007D5F5E"/>
    <w:rsid w:val="007D63EE"/>
    <w:rsid w:val="007D70E8"/>
    <w:rsid w:val="007D729D"/>
    <w:rsid w:val="007D7BD5"/>
    <w:rsid w:val="007D7E72"/>
    <w:rsid w:val="007E04DF"/>
    <w:rsid w:val="007E2BDF"/>
    <w:rsid w:val="007E301A"/>
    <w:rsid w:val="007E36A0"/>
    <w:rsid w:val="007E3935"/>
    <w:rsid w:val="007E3BE2"/>
    <w:rsid w:val="007E48B0"/>
    <w:rsid w:val="007E496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5C6D"/>
    <w:rsid w:val="007F6796"/>
    <w:rsid w:val="007F7A9E"/>
    <w:rsid w:val="007F7BCA"/>
    <w:rsid w:val="007F7D22"/>
    <w:rsid w:val="007F7E41"/>
    <w:rsid w:val="0080027B"/>
    <w:rsid w:val="00800B9F"/>
    <w:rsid w:val="00801613"/>
    <w:rsid w:val="00801AEE"/>
    <w:rsid w:val="00801D9F"/>
    <w:rsid w:val="008024C1"/>
    <w:rsid w:val="00802DE5"/>
    <w:rsid w:val="008057E9"/>
    <w:rsid w:val="00805C78"/>
    <w:rsid w:val="00806D08"/>
    <w:rsid w:val="00806E87"/>
    <w:rsid w:val="00807029"/>
    <w:rsid w:val="0081112E"/>
    <w:rsid w:val="008115B8"/>
    <w:rsid w:val="0081341D"/>
    <w:rsid w:val="00813D61"/>
    <w:rsid w:val="00814ED4"/>
    <w:rsid w:val="00816134"/>
    <w:rsid w:val="00822512"/>
    <w:rsid w:val="008229AF"/>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A0A"/>
    <w:rsid w:val="00835423"/>
    <w:rsid w:val="00835C47"/>
    <w:rsid w:val="00835D10"/>
    <w:rsid w:val="0083629A"/>
    <w:rsid w:val="00836570"/>
    <w:rsid w:val="00836ADB"/>
    <w:rsid w:val="0083749A"/>
    <w:rsid w:val="008374FF"/>
    <w:rsid w:val="00837C75"/>
    <w:rsid w:val="00837D85"/>
    <w:rsid w:val="00840703"/>
    <w:rsid w:val="00840E40"/>
    <w:rsid w:val="00841A4E"/>
    <w:rsid w:val="00842081"/>
    <w:rsid w:val="008426DC"/>
    <w:rsid w:val="00843E6A"/>
    <w:rsid w:val="00844654"/>
    <w:rsid w:val="00844D43"/>
    <w:rsid w:val="00844DFF"/>
    <w:rsid w:val="008470C4"/>
    <w:rsid w:val="008477FF"/>
    <w:rsid w:val="00847B17"/>
    <w:rsid w:val="00850579"/>
    <w:rsid w:val="008507C5"/>
    <w:rsid w:val="00850C6A"/>
    <w:rsid w:val="00851342"/>
    <w:rsid w:val="00851E18"/>
    <w:rsid w:val="00853310"/>
    <w:rsid w:val="0085361E"/>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5FDE"/>
    <w:rsid w:val="00866EC4"/>
    <w:rsid w:val="008671CD"/>
    <w:rsid w:val="00867774"/>
    <w:rsid w:val="00867E46"/>
    <w:rsid w:val="00870152"/>
    <w:rsid w:val="00870570"/>
    <w:rsid w:val="00871810"/>
    <w:rsid w:val="008719A5"/>
    <w:rsid w:val="008722A9"/>
    <w:rsid w:val="00872C12"/>
    <w:rsid w:val="00872F0E"/>
    <w:rsid w:val="008739E1"/>
    <w:rsid w:val="00873A85"/>
    <w:rsid w:val="00875E5D"/>
    <w:rsid w:val="008769A4"/>
    <w:rsid w:val="00880A27"/>
    <w:rsid w:val="00880B8F"/>
    <w:rsid w:val="00881475"/>
    <w:rsid w:val="0088171B"/>
    <w:rsid w:val="00881B2B"/>
    <w:rsid w:val="00883125"/>
    <w:rsid w:val="00883191"/>
    <w:rsid w:val="008836BA"/>
    <w:rsid w:val="00883EB4"/>
    <w:rsid w:val="00884A2F"/>
    <w:rsid w:val="008851B4"/>
    <w:rsid w:val="00885F7D"/>
    <w:rsid w:val="00886CE4"/>
    <w:rsid w:val="008872F3"/>
    <w:rsid w:val="0088762C"/>
    <w:rsid w:val="0089352D"/>
    <w:rsid w:val="00893862"/>
    <w:rsid w:val="00893883"/>
    <w:rsid w:val="00894648"/>
    <w:rsid w:val="00894B19"/>
    <w:rsid w:val="00895115"/>
    <w:rsid w:val="00895267"/>
    <w:rsid w:val="00895C3B"/>
    <w:rsid w:val="008961E7"/>
    <w:rsid w:val="00896F83"/>
    <w:rsid w:val="0089765C"/>
    <w:rsid w:val="008A0105"/>
    <w:rsid w:val="008A0A32"/>
    <w:rsid w:val="008A0CFB"/>
    <w:rsid w:val="008A2772"/>
    <w:rsid w:val="008A35CA"/>
    <w:rsid w:val="008A380B"/>
    <w:rsid w:val="008A4EAD"/>
    <w:rsid w:val="008A5210"/>
    <w:rsid w:val="008A5CCB"/>
    <w:rsid w:val="008A613D"/>
    <w:rsid w:val="008A623F"/>
    <w:rsid w:val="008A6B21"/>
    <w:rsid w:val="008A7AFD"/>
    <w:rsid w:val="008B064A"/>
    <w:rsid w:val="008B086F"/>
    <w:rsid w:val="008B12E4"/>
    <w:rsid w:val="008B1D25"/>
    <w:rsid w:val="008B1DC4"/>
    <w:rsid w:val="008B2465"/>
    <w:rsid w:val="008B3516"/>
    <w:rsid w:val="008B3A88"/>
    <w:rsid w:val="008B3D06"/>
    <w:rsid w:val="008B4043"/>
    <w:rsid w:val="008B4356"/>
    <w:rsid w:val="008B4458"/>
    <w:rsid w:val="008B4D86"/>
    <w:rsid w:val="008B564B"/>
    <w:rsid w:val="008B6376"/>
    <w:rsid w:val="008B6B20"/>
    <w:rsid w:val="008B719F"/>
    <w:rsid w:val="008B7314"/>
    <w:rsid w:val="008B7994"/>
    <w:rsid w:val="008C030A"/>
    <w:rsid w:val="008C092E"/>
    <w:rsid w:val="008C1426"/>
    <w:rsid w:val="008C1459"/>
    <w:rsid w:val="008C155B"/>
    <w:rsid w:val="008C1964"/>
    <w:rsid w:val="008C2530"/>
    <w:rsid w:val="008C291D"/>
    <w:rsid w:val="008C2AFE"/>
    <w:rsid w:val="008C2F5A"/>
    <w:rsid w:val="008C2F68"/>
    <w:rsid w:val="008C3BC9"/>
    <w:rsid w:val="008C4E63"/>
    <w:rsid w:val="008C53A3"/>
    <w:rsid w:val="008C5931"/>
    <w:rsid w:val="008C6FFB"/>
    <w:rsid w:val="008C7769"/>
    <w:rsid w:val="008D0141"/>
    <w:rsid w:val="008D0F1C"/>
    <w:rsid w:val="008D1AAC"/>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6628"/>
    <w:rsid w:val="008E6917"/>
    <w:rsid w:val="008E7EE6"/>
    <w:rsid w:val="008F0108"/>
    <w:rsid w:val="008F085B"/>
    <w:rsid w:val="008F0877"/>
    <w:rsid w:val="008F09D1"/>
    <w:rsid w:val="008F0D2F"/>
    <w:rsid w:val="008F0FED"/>
    <w:rsid w:val="008F1320"/>
    <w:rsid w:val="008F1557"/>
    <w:rsid w:val="008F1B1C"/>
    <w:rsid w:val="008F253C"/>
    <w:rsid w:val="008F346A"/>
    <w:rsid w:val="008F34E9"/>
    <w:rsid w:val="008F45D9"/>
    <w:rsid w:val="008F4BD5"/>
    <w:rsid w:val="008F609E"/>
    <w:rsid w:val="008F6D4B"/>
    <w:rsid w:val="008F7284"/>
    <w:rsid w:val="008F7351"/>
    <w:rsid w:val="009004A3"/>
    <w:rsid w:val="00901DB6"/>
    <w:rsid w:val="00901F29"/>
    <w:rsid w:val="0090208F"/>
    <w:rsid w:val="0090260B"/>
    <w:rsid w:val="0090262D"/>
    <w:rsid w:val="0090272E"/>
    <w:rsid w:val="00902DF7"/>
    <w:rsid w:val="0090410C"/>
    <w:rsid w:val="009044FA"/>
    <w:rsid w:val="00904E93"/>
    <w:rsid w:val="00905217"/>
    <w:rsid w:val="00905311"/>
    <w:rsid w:val="00905467"/>
    <w:rsid w:val="00905CBE"/>
    <w:rsid w:val="00906181"/>
    <w:rsid w:val="009109A0"/>
    <w:rsid w:val="00910A3A"/>
    <w:rsid w:val="00910D2A"/>
    <w:rsid w:val="00911F8A"/>
    <w:rsid w:val="0091235B"/>
    <w:rsid w:val="00913EB3"/>
    <w:rsid w:val="00914449"/>
    <w:rsid w:val="0091457D"/>
    <w:rsid w:val="00914ACF"/>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B26"/>
    <w:rsid w:val="00923DDB"/>
    <w:rsid w:val="00924278"/>
    <w:rsid w:val="009246ED"/>
    <w:rsid w:val="009249B0"/>
    <w:rsid w:val="00924AAB"/>
    <w:rsid w:val="00925799"/>
    <w:rsid w:val="00925E83"/>
    <w:rsid w:val="00926488"/>
    <w:rsid w:val="009278E3"/>
    <w:rsid w:val="00927E94"/>
    <w:rsid w:val="00931041"/>
    <w:rsid w:val="00931104"/>
    <w:rsid w:val="009323EC"/>
    <w:rsid w:val="00932AA0"/>
    <w:rsid w:val="009336DF"/>
    <w:rsid w:val="0093412D"/>
    <w:rsid w:val="00934166"/>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B6A"/>
    <w:rsid w:val="009472A1"/>
    <w:rsid w:val="00947F96"/>
    <w:rsid w:val="0095120D"/>
    <w:rsid w:val="00951533"/>
    <w:rsid w:val="00951B5F"/>
    <w:rsid w:val="00951ED5"/>
    <w:rsid w:val="009522AD"/>
    <w:rsid w:val="00953AEB"/>
    <w:rsid w:val="0095432E"/>
    <w:rsid w:val="009548F3"/>
    <w:rsid w:val="00954902"/>
    <w:rsid w:val="00955099"/>
    <w:rsid w:val="0095558A"/>
    <w:rsid w:val="009568E4"/>
    <w:rsid w:val="0095697C"/>
    <w:rsid w:val="00957754"/>
    <w:rsid w:val="009600A3"/>
    <w:rsid w:val="00960956"/>
    <w:rsid w:val="009615E6"/>
    <w:rsid w:val="00961673"/>
    <w:rsid w:val="009619A3"/>
    <w:rsid w:val="00961E37"/>
    <w:rsid w:val="009640C2"/>
    <w:rsid w:val="00964249"/>
    <w:rsid w:val="00964D38"/>
    <w:rsid w:val="00965223"/>
    <w:rsid w:val="009652B6"/>
    <w:rsid w:val="0096532D"/>
    <w:rsid w:val="0096559D"/>
    <w:rsid w:val="00965B9C"/>
    <w:rsid w:val="009668B5"/>
    <w:rsid w:val="0096719E"/>
    <w:rsid w:val="009711ED"/>
    <w:rsid w:val="0097235B"/>
    <w:rsid w:val="00972D9E"/>
    <w:rsid w:val="009749A7"/>
    <w:rsid w:val="009749F0"/>
    <w:rsid w:val="00975347"/>
    <w:rsid w:val="00975AA7"/>
    <w:rsid w:val="00976FF0"/>
    <w:rsid w:val="00977C49"/>
    <w:rsid w:val="009809CB"/>
    <w:rsid w:val="00980BB2"/>
    <w:rsid w:val="0098227D"/>
    <w:rsid w:val="009828D0"/>
    <w:rsid w:val="00984E7D"/>
    <w:rsid w:val="00985D1C"/>
    <w:rsid w:val="00985ED1"/>
    <w:rsid w:val="0098646B"/>
    <w:rsid w:val="009865A0"/>
    <w:rsid w:val="00986C91"/>
    <w:rsid w:val="009872D5"/>
    <w:rsid w:val="0098737E"/>
    <w:rsid w:val="00987692"/>
    <w:rsid w:val="009904E8"/>
    <w:rsid w:val="00990FA5"/>
    <w:rsid w:val="00992B8B"/>
    <w:rsid w:val="00992D1D"/>
    <w:rsid w:val="0099316C"/>
    <w:rsid w:val="00993978"/>
    <w:rsid w:val="00994658"/>
    <w:rsid w:val="00994B25"/>
    <w:rsid w:val="00994B27"/>
    <w:rsid w:val="00995028"/>
    <w:rsid w:val="0099558C"/>
    <w:rsid w:val="00995DB9"/>
    <w:rsid w:val="009960DB"/>
    <w:rsid w:val="009961EE"/>
    <w:rsid w:val="009A1027"/>
    <w:rsid w:val="009A3218"/>
    <w:rsid w:val="009A3255"/>
    <w:rsid w:val="009A53EF"/>
    <w:rsid w:val="009A671C"/>
    <w:rsid w:val="009A7519"/>
    <w:rsid w:val="009A762E"/>
    <w:rsid w:val="009B0224"/>
    <w:rsid w:val="009B0C65"/>
    <w:rsid w:val="009B1C0D"/>
    <w:rsid w:val="009B2FCA"/>
    <w:rsid w:val="009B339A"/>
    <w:rsid w:val="009B3834"/>
    <w:rsid w:val="009B3ACD"/>
    <w:rsid w:val="009B4448"/>
    <w:rsid w:val="009B5005"/>
    <w:rsid w:val="009B594E"/>
    <w:rsid w:val="009B631F"/>
    <w:rsid w:val="009B67E1"/>
    <w:rsid w:val="009B6AB8"/>
    <w:rsid w:val="009B76ED"/>
    <w:rsid w:val="009B7F70"/>
    <w:rsid w:val="009C0613"/>
    <w:rsid w:val="009C1318"/>
    <w:rsid w:val="009C251B"/>
    <w:rsid w:val="009C3F99"/>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1E4"/>
    <w:rsid w:val="009D7F61"/>
    <w:rsid w:val="009E0D51"/>
    <w:rsid w:val="009E0E69"/>
    <w:rsid w:val="009E3357"/>
    <w:rsid w:val="009E3490"/>
    <w:rsid w:val="009E39E7"/>
    <w:rsid w:val="009E4D2D"/>
    <w:rsid w:val="009E5EC7"/>
    <w:rsid w:val="009E64DF"/>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63C9"/>
    <w:rsid w:val="00A00E39"/>
    <w:rsid w:val="00A02A30"/>
    <w:rsid w:val="00A033F5"/>
    <w:rsid w:val="00A04A9A"/>
    <w:rsid w:val="00A04B7C"/>
    <w:rsid w:val="00A05205"/>
    <w:rsid w:val="00A05A2D"/>
    <w:rsid w:val="00A05EDB"/>
    <w:rsid w:val="00A066DF"/>
    <w:rsid w:val="00A067A0"/>
    <w:rsid w:val="00A06C04"/>
    <w:rsid w:val="00A10254"/>
    <w:rsid w:val="00A10DD7"/>
    <w:rsid w:val="00A11071"/>
    <w:rsid w:val="00A11C0D"/>
    <w:rsid w:val="00A11DD9"/>
    <w:rsid w:val="00A11EBF"/>
    <w:rsid w:val="00A12E87"/>
    <w:rsid w:val="00A131B0"/>
    <w:rsid w:val="00A154BF"/>
    <w:rsid w:val="00A1577F"/>
    <w:rsid w:val="00A204F0"/>
    <w:rsid w:val="00A20671"/>
    <w:rsid w:val="00A207E4"/>
    <w:rsid w:val="00A20CD5"/>
    <w:rsid w:val="00A22C17"/>
    <w:rsid w:val="00A232A6"/>
    <w:rsid w:val="00A23523"/>
    <w:rsid w:val="00A2357A"/>
    <w:rsid w:val="00A23BB5"/>
    <w:rsid w:val="00A24169"/>
    <w:rsid w:val="00A25140"/>
    <w:rsid w:val="00A25524"/>
    <w:rsid w:val="00A25D21"/>
    <w:rsid w:val="00A2641B"/>
    <w:rsid w:val="00A26626"/>
    <w:rsid w:val="00A276B7"/>
    <w:rsid w:val="00A30447"/>
    <w:rsid w:val="00A30517"/>
    <w:rsid w:val="00A324FB"/>
    <w:rsid w:val="00A32683"/>
    <w:rsid w:val="00A32F6C"/>
    <w:rsid w:val="00A33B3E"/>
    <w:rsid w:val="00A34BA8"/>
    <w:rsid w:val="00A35A82"/>
    <w:rsid w:val="00A35D38"/>
    <w:rsid w:val="00A36E72"/>
    <w:rsid w:val="00A3753A"/>
    <w:rsid w:val="00A40DD8"/>
    <w:rsid w:val="00A40F53"/>
    <w:rsid w:val="00A413EC"/>
    <w:rsid w:val="00A41691"/>
    <w:rsid w:val="00A419C7"/>
    <w:rsid w:val="00A4264E"/>
    <w:rsid w:val="00A43772"/>
    <w:rsid w:val="00A438BA"/>
    <w:rsid w:val="00A43966"/>
    <w:rsid w:val="00A439E9"/>
    <w:rsid w:val="00A439EA"/>
    <w:rsid w:val="00A4400A"/>
    <w:rsid w:val="00A441AC"/>
    <w:rsid w:val="00A4603D"/>
    <w:rsid w:val="00A47D2F"/>
    <w:rsid w:val="00A47FA3"/>
    <w:rsid w:val="00A507DB"/>
    <w:rsid w:val="00A5152C"/>
    <w:rsid w:val="00A523F0"/>
    <w:rsid w:val="00A52B6B"/>
    <w:rsid w:val="00A530C8"/>
    <w:rsid w:val="00A53BF6"/>
    <w:rsid w:val="00A547F3"/>
    <w:rsid w:val="00A54B4F"/>
    <w:rsid w:val="00A57019"/>
    <w:rsid w:val="00A604EB"/>
    <w:rsid w:val="00A61907"/>
    <w:rsid w:val="00A6196F"/>
    <w:rsid w:val="00A61AB3"/>
    <w:rsid w:val="00A61DAD"/>
    <w:rsid w:val="00A6215D"/>
    <w:rsid w:val="00A63017"/>
    <w:rsid w:val="00A64669"/>
    <w:rsid w:val="00A66095"/>
    <w:rsid w:val="00A66172"/>
    <w:rsid w:val="00A66221"/>
    <w:rsid w:val="00A6661E"/>
    <w:rsid w:val="00A66CA4"/>
    <w:rsid w:val="00A67444"/>
    <w:rsid w:val="00A6749E"/>
    <w:rsid w:val="00A71AB0"/>
    <w:rsid w:val="00A71BBB"/>
    <w:rsid w:val="00A71C3A"/>
    <w:rsid w:val="00A725EB"/>
    <w:rsid w:val="00A73199"/>
    <w:rsid w:val="00A73C53"/>
    <w:rsid w:val="00A7408D"/>
    <w:rsid w:val="00A7456B"/>
    <w:rsid w:val="00A7500B"/>
    <w:rsid w:val="00A750AD"/>
    <w:rsid w:val="00A777E0"/>
    <w:rsid w:val="00A77B6D"/>
    <w:rsid w:val="00A80FBA"/>
    <w:rsid w:val="00A81309"/>
    <w:rsid w:val="00A81BE2"/>
    <w:rsid w:val="00A8226C"/>
    <w:rsid w:val="00A82A0D"/>
    <w:rsid w:val="00A8328B"/>
    <w:rsid w:val="00A8361A"/>
    <w:rsid w:val="00A850A0"/>
    <w:rsid w:val="00A85121"/>
    <w:rsid w:val="00A869F1"/>
    <w:rsid w:val="00A87DE0"/>
    <w:rsid w:val="00A9126F"/>
    <w:rsid w:val="00A912DB"/>
    <w:rsid w:val="00A917E3"/>
    <w:rsid w:val="00A91A9D"/>
    <w:rsid w:val="00A91B42"/>
    <w:rsid w:val="00A91C1C"/>
    <w:rsid w:val="00A91DAE"/>
    <w:rsid w:val="00A92A08"/>
    <w:rsid w:val="00A93844"/>
    <w:rsid w:val="00A9417E"/>
    <w:rsid w:val="00A94F98"/>
    <w:rsid w:val="00A95BB4"/>
    <w:rsid w:val="00A96FB8"/>
    <w:rsid w:val="00A977AD"/>
    <w:rsid w:val="00A97DE7"/>
    <w:rsid w:val="00AA040C"/>
    <w:rsid w:val="00AA1654"/>
    <w:rsid w:val="00AA1DD5"/>
    <w:rsid w:val="00AA2EB6"/>
    <w:rsid w:val="00AA35CE"/>
    <w:rsid w:val="00AA4DD0"/>
    <w:rsid w:val="00AA567D"/>
    <w:rsid w:val="00AA5797"/>
    <w:rsid w:val="00AA69F1"/>
    <w:rsid w:val="00AA6A6D"/>
    <w:rsid w:val="00AA6A95"/>
    <w:rsid w:val="00AA6DF6"/>
    <w:rsid w:val="00AA76C6"/>
    <w:rsid w:val="00AB02C5"/>
    <w:rsid w:val="00AB1D58"/>
    <w:rsid w:val="00AB1F5D"/>
    <w:rsid w:val="00AB2262"/>
    <w:rsid w:val="00AB28E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38A8"/>
    <w:rsid w:val="00AD3939"/>
    <w:rsid w:val="00AD3F6E"/>
    <w:rsid w:val="00AD3FD6"/>
    <w:rsid w:val="00AD4113"/>
    <w:rsid w:val="00AD4149"/>
    <w:rsid w:val="00AD4592"/>
    <w:rsid w:val="00AD47E3"/>
    <w:rsid w:val="00AD600A"/>
    <w:rsid w:val="00AD6E2D"/>
    <w:rsid w:val="00AD6FB5"/>
    <w:rsid w:val="00AD7043"/>
    <w:rsid w:val="00AD768F"/>
    <w:rsid w:val="00AE0525"/>
    <w:rsid w:val="00AE060E"/>
    <w:rsid w:val="00AE0C97"/>
    <w:rsid w:val="00AE116C"/>
    <w:rsid w:val="00AE1E36"/>
    <w:rsid w:val="00AE26B4"/>
    <w:rsid w:val="00AE2EEE"/>
    <w:rsid w:val="00AE3444"/>
    <w:rsid w:val="00AE3CAC"/>
    <w:rsid w:val="00AE4134"/>
    <w:rsid w:val="00AE47B4"/>
    <w:rsid w:val="00AE5BA0"/>
    <w:rsid w:val="00AE638E"/>
    <w:rsid w:val="00AE6827"/>
    <w:rsid w:val="00AF13F3"/>
    <w:rsid w:val="00AF19CB"/>
    <w:rsid w:val="00AF1D8E"/>
    <w:rsid w:val="00AF265B"/>
    <w:rsid w:val="00AF4049"/>
    <w:rsid w:val="00AF4CB4"/>
    <w:rsid w:val="00AF4DDB"/>
    <w:rsid w:val="00AF602B"/>
    <w:rsid w:val="00AF695E"/>
    <w:rsid w:val="00AF6B0C"/>
    <w:rsid w:val="00AF75C4"/>
    <w:rsid w:val="00AF7E44"/>
    <w:rsid w:val="00B006CA"/>
    <w:rsid w:val="00B01B7E"/>
    <w:rsid w:val="00B01FAB"/>
    <w:rsid w:val="00B02308"/>
    <w:rsid w:val="00B025C5"/>
    <w:rsid w:val="00B02B0B"/>
    <w:rsid w:val="00B03A10"/>
    <w:rsid w:val="00B05097"/>
    <w:rsid w:val="00B05240"/>
    <w:rsid w:val="00B05B30"/>
    <w:rsid w:val="00B060B0"/>
    <w:rsid w:val="00B06110"/>
    <w:rsid w:val="00B07580"/>
    <w:rsid w:val="00B07FFD"/>
    <w:rsid w:val="00B10589"/>
    <w:rsid w:val="00B10A67"/>
    <w:rsid w:val="00B113ED"/>
    <w:rsid w:val="00B11D49"/>
    <w:rsid w:val="00B125D5"/>
    <w:rsid w:val="00B131DF"/>
    <w:rsid w:val="00B131FE"/>
    <w:rsid w:val="00B137D8"/>
    <w:rsid w:val="00B15F68"/>
    <w:rsid w:val="00B1697F"/>
    <w:rsid w:val="00B17407"/>
    <w:rsid w:val="00B20791"/>
    <w:rsid w:val="00B208FF"/>
    <w:rsid w:val="00B22C20"/>
    <w:rsid w:val="00B235EC"/>
    <w:rsid w:val="00B23A43"/>
    <w:rsid w:val="00B23E07"/>
    <w:rsid w:val="00B248BA"/>
    <w:rsid w:val="00B25A03"/>
    <w:rsid w:val="00B26376"/>
    <w:rsid w:val="00B2664A"/>
    <w:rsid w:val="00B26B73"/>
    <w:rsid w:val="00B27123"/>
    <w:rsid w:val="00B308F8"/>
    <w:rsid w:val="00B31504"/>
    <w:rsid w:val="00B3162C"/>
    <w:rsid w:val="00B31C66"/>
    <w:rsid w:val="00B31F43"/>
    <w:rsid w:val="00B3239B"/>
    <w:rsid w:val="00B32A94"/>
    <w:rsid w:val="00B34229"/>
    <w:rsid w:val="00B34B0B"/>
    <w:rsid w:val="00B34B76"/>
    <w:rsid w:val="00B358C9"/>
    <w:rsid w:val="00B35C19"/>
    <w:rsid w:val="00B35DD9"/>
    <w:rsid w:val="00B36EA6"/>
    <w:rsid w:val="00B37025"/>
    <w:rsid w:val="00B3770A"/>
    <w:rsid w:val="00B4091F"/>
    <w:rsid w:val="00B40C96"/>
    <w:rsid w:val="00B41518"/>
    <w:rsid w:val="00B41D97"/>
    <w:rsid w:val="00B42E9F"/>
    <w:rsid w:val="00B43A59"/>
    <w:rsid w:val="00B43D32"/>
    <w:rsid w:val="00B43EC8"/>
    <w:rsid w:val="00B43ED7"/>
    <w:rsid w:val="00B44DB8"/>
    <w:rsid w:val="00B45232"/>
    <w:rsid w:val="00B46481"/>
    <w:rsid w:val="00B474A7"/>
    <w:rsid w:val="00B47665"/>
    <w:rsid w:val="00B4778D"/>
    <w:rsid w:val="00B526DD"/>
    <w:rsid w:val="00B52A2D"/>
    <w:rsid w:val="00B5307F"/>
    <w:rsid w:val="00B53CBE"/>
    <w:rsid w:val="00B54426"/>
    <w:rsid w:val="00B55239"/>
    <w:rsid w:val="00B55CCF"/>
    <w:rsid w:val="00B57A31"/>
    <w:rsid w:val="00B60ACA"/>
    <w:rsid w:val="00B618A8"/>
    <w:rsid w:val="00B61FCB"/>
    <w:rsid w:val="00B62A2D"/>
    <w:rsid w:val="00B62BE7"/>
    <w:rsid w:val="00B63490"/>
    <w:rsid w:val="00B64D98"/>
    <w:rsid w:val="00B64FB0"/>
    <w:rsid w:val="00B67366"/>
    <w:rsid w:val="00B678E5"/>
    <w:rsid w:val="00B716FC"/>
    <w:rsid w:val="00B718CD"/>
    <w:rsid w:val="00B72588"/>
    <w:rsid w:val="00B72EA3"/>
    <w:rsid w:val="00B7303A"/>
    <w:rsid w:val="00B73A17"/>
    <w:rsid w:val="00B73AF2"/>
    <w:rsid w:val="00B75434"/>
    <w:rsid w:val="00B75B14"/>
    <w:rsid w:val="00B7655C"/>
    <w:rsid w:val="00B767A3"/>
    <w:rsid w:val="00B76B13"/>
    <w:rsid w:val="00B76D36"/>
    <w:rsid w:val="00B76D51"/>
    <w:rsid w:val="00B770FA"/>
    <w:rsid w:val="00B771B0"/>
    <w:rsid w:val="00B772E5"/>
    <w:rsid w:val="00B776FB"/>
    <w:rsid w:val="00B829C4"/>
    <w:rsid w:val="00B82D43"/>
    <w:rsid w:val="00B83BFD"/>
    <w:rsid w:val="00B84099"/>
    <w:rsid w:val="00B84C60"/>
    <w:rsid w:val="00B8524E"/>
    <w:rsid w:val="00B85471"/>
    <w:rsid w:val="00B85A9B"/>
    <w:rsid w:val="00B85D43"/>
    <w:rsid w:val="00B86BB7"/>
    <w:rsid w:val="00B873DC"/>
    <w:rsid w:val="00B87BD9"/>
    <w:rsid w:val="00B87FC4"/>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A6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738"/>
    <w:rsid w:val="00BB1978"/>
    <w:rsid w:val="00BB1C14"/>
    <w:rsid w:val="00BB24D2"/>
    <w:rsid w:val="00BB24FF"/>
    <w:rsid w:val="00BB256C"/>
    <w:rsid w:val="00BB27B2"/>
    <w:rsid w:val="00BB2E70"/>
    <w:rsid w:val="00BB339C"/>
    <w:rsid w:val="00BB3436"/>
    <w:rsid w:val="00BB5549"/>
    <w:rsid w:val="00BB576E"/>
    <w:rsid w:val="00BB57FE"/>
    <w:rsid w:val="00BB6715"/>
    <w:rsid w:val="00BB697C"/>
    <w:rsid w:val="00BB6B1E"/>
    <w:rsid w:val="00BB7E1E"/>
    <w:rsid w:val="00BC0D5C"/>
    <w:rsid w:val="00BC0D67"/>
    <w:rsid w:val="00BC1C8B"/>
    <w:rsid w:val="00BC1CA0"/>
    <w:rsid w:val="00BC22E9"/>
    <w:rsid w:val="00BC26E5"/>
    <w:rsid w:val="00BC2A54"/>
    <w:rsid w:val="00BC3561"/>
    <w:rsid w:val="00BC3B66"/>
    <w:rsid w:val="00BC41F3"/>
    <w:rsid w:val="00BC48DF"/>
    <w:rsid w:val="00BC4EC0"/>
    <w:rsid w:val="00BC4EDE"/>
    <w:rsid w:val="00BC72BE"/>
    <w:rsid w:val="00BC7D35"/>
    <w:rsid w:val="00BD0978"/>
    <w:rsid w:val="00BD0B72"/>
    <w:rsid w:val="00BD0C90"/>
    <w:rsid w:val="00BD28B8"/>
    <w:rsid w:val="00BD2AD1"/>
    <w:rsid w:val="00BD3179"/>
    <w:rsid w:val="00BD3A76"/>
    <w:rsid w:val="00BD3E50"/>
    <w:rsid w:val="00BD429C"/>
    <w:rsid w:val="00BD5C0B"/>
    <w:rsid w:val="00BD5F1E"/>
    <w:rsid w:val="00BD61EF"/>
    <w:rsid w:val="00BD66E6"/>
    <w:rsid w:val="00BD6C7C"/>
    <w:rsid w:val="00BD74C9"/>
    <w:rsid w:val="00BD7A61"/>
    <w:rsid w:val="00BE01F0"/>
    <w:rsid w:val="00BE0678"/>
    <w:rsid w:val="00BE0CA3"/>
    <w:rsid w:val="00BE0CD1"/>
    <w:rsid w:val="00BE3EF8"/>
    <w:rsid w:val="00BE4FC4"/>
    <w:rsid w:val="00BE6F8A"/>
    <w:rsid w:val="00BE7E76"/>
    <w:rsid w:val="00BF09F8"/>
    <w:rsid w:val="00BF2130"/>
    <w:rsid w:val="00BF36BC"/>
    <w:rsid w:val="00BF4AE2"/>
    <w:rsid w:val="00BF4C81"/>
    <w:rsid w:val="00BF4CC8"/>
    <w:rsid w:val="00BF4EE3"/>
    <w:rsid w:val="00BF5869"/>
    <w:rsid w:val="00BF5F50"/>
    <w:rsid w:val="00BF63D9"/>
    <w:rsid w:val="00BF6BB4"/>
    <w:rsid w:val="00BF6FE5"/>
    <w:rsid w:val="00BF7807"/>
    <w:rsid w:val="00BF7D6A"/>
    <w:rsid w:val="00C0004D"/>
    <w:rsid w:val="00C00261"/>
    <w:rsid w:val="00C0077C"/>
    <w:rsid w:val="00C00CD2"/>
    <w:rsid w:val="00C01B54"/>
    <w:rsid w:val="00C01BB1"/>
    <w:rsid w:val="00C020DA"/>
    <w:rsid w:val="00C0251B"/>
    <w:rsid w:val="00C028BB"/>
    <w:rsid w:val="00C034A6"/>
    <w:rsid w:val="00C038C7"/>
    <w:rsid w:val="00C04179"/>
    <w:rsid w:val="00C04947"/>
    <w:rsid w:val="00C0593F"/>
    <w:rsid w:val="00C05CE2"/>
    <w:rsid w:val="00C06DBF"/>
    <w:rsid w:val="00C07B74"/>
    <w:rsid w:val="00C11103"/>
    <w:rsid w:val="00C11379"/>
    <w:rsid w:val="00C119FD"/>
    <w:rsid w:val="00C1244A"/>
    <w:rsid w:val="00C12E49"/>
    <w:rsid w:val="00C14F80"/>
    <w:rsid w:val="00C152AF"/>
    <w:rsid w:val="00C15E6E"/>
    <w:rsid w:val="00C15F13"/>
    <w:rsid w:val="00C16564"/>
    <w:rsid w:val="00C16D5B"/>
    <w:rsid w:val="00C177F9"/>
    <w:rsid w:val="00C17D78"/>
    <w:rsid w:val="00C17F8C"/>
    <w:rsid w:val="00C209B2"/>
    <w:rsid w:val="00C20A07"/>
    <w:rsid w:val="00C21006"/>
    <w:rsid w:val="00C21080"/>
    <w:rsid w:val="00C218DC"/>
    <w:rsid w:val="00C21A01"/>
    <w:rsid w:val="00C21B8B"/>
    <w:rsid w:val="00C21D35"/>
    <w:rsid w:val="00C21D4D"/>
    <w:rsid w:val="00C22C2E"/>
    <w:rsid w:val="00C23595"/>
    <w:rsid w:val="00C24763"/>
    <w:rsid w:val="00C2564A"/>
    <w:rsid w:val="00C30388"/>
    <w:rsid w:val="00C30D87"/>
    <w:rsid w:val="00C31E51"/>
    <w:rsid w:val="00C32491"/>
    <w:rsid w:val="00C32FCD"/>
    <w:rsid w:val="00C33781"/>
    <w:rsid w:val="00C341CA"/>
    <w:rsid w:val="00C34CF9"/>
    <w:rsid w:val="00C35315"/>
    <w:rsid w:val="00C3582C"/>
    <w:rsid w:val="00C36302"/>
    <w:rsid w:val="00C36398"/>
    <w:rsid w:val="00C36611"/>
    <w:rsid w:val="00C36B72"/>
    <w:rsid w:val="00C374B1"/>
    <w:rsid w:val="00C40F1D"/>
    <w:rsid w:val="00C40FC7"/>
    <w:rsid w:val="00C410BC"/>
    <w:rsid w:val="00C411DA"/>
    <w:rsid w:val="00C415ED"/>
    <w:rsid w:val="00C42A71"/>
    <w:rsid w:val="00C4304C"/>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B9A"/>
    <w:rsid w:val="00C5640C"/>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CCF"/>
    <w:rsid w:val="00C76A24"/>
    <w:rsid w:val="00C76D5E"/>
    <w:rsid w:val="00C80310"/>
    <w:rsid w:val="00C82222"/>
    <w:rsid w:val="00C82522"/>
    <w:rsid w:val="00C826C0"/>
    <w:rsid w:val="00C82883"/>
    <w:rsid w:val="00C83096"/>
    <w:rsid w:val="00C831B3"/>
    <w:rsid w:val="00C8435A"/>
    <w:rsid w:val="00C845BF"/>
    <w:rsid w:val="00C85E47"/>
    <w:rsid w:val="00C86B3D"/>
    <w:rsid w:val="00C86D94"/>
    <w:rsid w:val="00C87618"/>
    <w:rsid w:val="00C906A6"/>
    <w:rsid w:val="00C90C60"/>
    <w:rsid w:val="00C90C65"/>
    <w:rsid w:val="00C91E69"/>
    <w:rsid w:val="00C91FB5"/>
    <w:rsid w:val="00C92B6A"/>
    <w:rsid w:val="00C92D79"/>
    <w:rsid w:val="00C92EC7"/>
    <w:rsid w:val="00C9328D"/>
    <w:rsid w:val="00C94DE5"/>
    <w:rsid w:val="00C950F1"/>
    <w:rsid w:val="00C95310"/>
    <w:rsid w:val="00C9534F"/>
    <w:rsid w:val="00C963A9"/>
    <w:rsid w:val="00C97058"/>
    <w:rsid w:val="00CA0864"/>
    <w:rsid w:val="00CA0E40"/>
    <w:rsid w:val="00CA10AC"/>
    <w:rsid w:val="00CA23FD"/>
    <w:rsid w:val="00CA2800"/>
    <w:rsid w:val="00CA2C08"/>
    <w:rsid w:val="00CA3301"/>
    <w:rsid w:val="00CA3BA5"/>
    <w:rsid w:val="00CA3E58"/>
    <w:rsid w:val="00CA4058"/>
    <w:rsid w:val="00CA4A87"/>
    <w:rsid w:val="00CA4CBF"/>
    <w:rsid w:val="00CA5618"/>
    <w:rsid w:val="00CA5DB0"/>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4FD"/>
    <w:rsid w:val="00CB5950"/>
    <w:rsid w:val="00CB7E3C"/>
    <w:rsid w:val="00CC01AB"/>
    <w:rsid w:val="00CC0925"/>
    <w:rsid w:val="00CC1C3F"/>
    <w:rsid w:val="00CC2737"/>
    <w:rsid w:val="00CC2DAE"/>
    <w:rsid w:val="00CC35BD"/>
    <w:rsid w:val="00CC40D3"/>
    <w:rsid w:val="00CC495D"/>
    <w:rsid w:val="00CC49CE"/>
    <w:rsid w:val="00CC4ED3"/>
    <w:rsid w:val="00CC5090"/>
    <w:rsid w:val="00CC5E7C"/>
    <w:rsid w:val="00CC6C94"/>
    <w:rsid w:val="00CC6D63"/>
    <w:rsid w:val="00CC7A23"/>
    <w:rsid w:val="00CC7D63"/>
    <w:rsid w:val="00CC7F31"/>
    <w:rsid w:val="00CD007C"/>
    <w:rsid w:val="00CD0726"/>
    <w:rsid w:val="00CD0C35"/>
    <w:rsid w:val="00CD11AD"/>
    <w:rsid w:val="00CD2D59"/>
    <w:rsid w:val="00CD2EAE"/>
    <w:rsid w:val="00CD32C3"/>
    <w:rsid w:val="00CD3470"/>
    <w:rsid w:val="00CD3AAC"/>
    <w:rsid w:val="00CD4558"/>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44"/>
    <w:rsid w:val="00CE4E25"/>
    <w:rsid w:val="00CE4E3F"/>
    <w:rsid w:val="00CE50C5"/>
    <w:rsid w:val="00CE51CD"/>
    <w:rsid w:val="00CE54F0"/>
    <w:rsid w:val="00CE5DBA"/>
    <w:rsid w:val="00CE5E83"/>
    <w:rsid w:val="00CE5ECF"/>
    <w:rsid w:val="00CE62CD"/>
    <w:rsid w:val="00CE63D7"/>
    <w:rsid w:val="00CF0409"/>
    <w:rsid w:val="00CF0511"/>
    <w:rsid w:val="00CF05C8"/>
    <w:rsid w:val="00CF14FE"/>
    <w:rsid w:val="00CF1F2C"/>
    <w:rsid w:val="00CF20E9"/>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2B85"/>
    <w:rsid w:val="00D039CA"/>
    <w:rsid w:val="00D048B8"/>
    <w:rsid w:val="00D05BF8"/>
    <w:rsid w:val="00D06104"/>
    <w:rsid w:val="00D066EB"/>
    <w:rsid w:val="00D070FC"/>
    <w:rsid w:val="00D10772"/>
    <w:rsid w:val="00D10953"/>
    <w:rsid w:val="00D13E9C"/>
    <w:rsid w:val="00D1468D"/>
    <w:rsid w:val="00D153C0"/>
    <w:rsid w:val="00D15676"/>
    <w:rsid w:val="00D16AC0"/>
    <w:rsid w:val="00D171C2"/>
    <w:rsid w:val="00D17B39"/>
    <w:rsid w:val="00D17BF5"/>
    <w:rsid w:val="00D17C60"/>
    <w:rsid w:val="00D17DD8"/>
    <w:rsid w:val="00D20649"/>
    <w:rsid w:val="00D211F7"/>
    <w:rsid w:val="00D23A9A"/>
    <w:rsid w:val="00D249D9"/>
    <w:rsid w:val="00D25314"/>
    <w:rsid w:val="00D254BB"/>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F50"/>
    <w:rsid w:val="00D55256"/>
    <w:rsid w:val="00D55F32"/>
    <w:rsid w:val="00D561BD"/>
    <w:rsid w:val="00D57535"/>
    <w:rsid w:val="00D5795D"/>
    <w:rsid w:val="00D57E62"/>
    <w:rsid w:val="00D57F32"/>
    <w:rsid w:val="00D6081A"/>
    <w:rsid w:val="00D60DA6"/>
    <w:rsid w:val="00D62188"/>
    <w:rsid w:val="00D62943"/>
    <w:rsid w:val="00D651EF"/>
    <w:rsid w:val="00D65843"/>
    <w:rsid w:val="00D66F7E"/>
    <w:rsid w:val="00D66FD8"/>
    <w:rsid w:val="00D6789C"/>
    <w:rsid w:val="00D67F82"/>
    <w:rsid w:val="00D7037F"/>
    <w:rsid w:val="00D704FA"/>
    <w:rsid w:val="00D706EF"/>
    <w:rsid w:val="00D70B5B"/>
    <w:rsid w:val="00D70E5C"/>
    <w:rsid w:val="00D71A9D"/>
    <w:rsid w:val="00D71B8B"/>
    <w:rsid w:val="00D71D79"/>
    <w:rsid w:val="00D71DFF"/>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6AF1"/>
    <w:rsid w:val="00DA6F00"/>
    <w:rsid w:val="00DB0023"/>
    <w:rsid w:val="00DB0AF9"/>
    <w:rsid w:val="00DB11DF"/>
    <w:rsid w:val="00DB1C50"/>
    <w:rsid w:val="00DB302E"/>
    <w:rsid w:val="00DB3459"/>
    <w:rsid w:val="00DB37E1"/>
    <w:rsid w:val="00DB4494"/>
    <w:rsid w:val="00DB5982"/>
    <w:rsid w:val="00DB5D97"/>
    <w:rsid w:val="00DB615A"/>
    <w:rsid w:val="00DC04B4"/>
    <w:rsid w:val="00DC0CCA"/>
    <w:rsid w:val="00DC0E25"/>
    <w:rsid w:val="00DC1066"/>
    <w:rsid w:val="00DC153C"/>
    <w:rsid w:val="00DC2564"/>
    <w:rsid w:val="00DC2615"/>
    <w:rsid w:val="00DC3467"/>
    <w:rsid w:val="00DC37E2"/>
    <w:rsid w:val="00DC39A0"/>
    <w:rsid w:val="00DC5E48"/>
    <w:rsid w:val="00DC6A10"/>
    <w:rsid w:val="00DC73F2"/>
    <w:rsid w:val="00DD085C"/>
    <w:rsid w:val="00DD0E30"/>
    <w:rsid w:val="00DD0FAA"/>
    <w:rsid w:val="00DD1378"/>
    <w:rsid w:val="00DD1478"/>
    <w:rsid w:val="00DD2813"/>
    <w:rsid w:val="00DD2830"/>
    <w:rsid w:val="00DD46AC"/>
    <w:rsid w:val="00DD512F"/>
    <w:rsid w:val="00DD58CC"/>
    <w:rsid w:val="00DD6B23"/>
    <w:rsid w:val="00DD6CF9"/>
    <w:rsid w:val="00DD6E08"/>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3583"/>
    <w:rsid w:val="00E13652"/>
    <w:rsid w:val="00E1493D"/>
    <w:rsid w:val="00E14E2D"/>
    <w:rsid w:val="00E157C0"/>
    <w:rsid w:val="00E15B70"/>
    <w:rsid w:val="00E15CCF"/>
    <w:rsid w:val="00E16761"/>
    <w:rsid w:val="00E16C3D"/>
    <w:rsid w:val="00E1700A"/>
    <w:rsid w:val="00E178E8"/>
    <w:rsid w:val="00E20821"/>
    <w:rsid w:val="00E20ABF"/>
    <w:rsid w:val="00E2158E"/>
    <w:rsid w:val="00E216D9"/>
    <w:rsid w:val="00E2270F"/>
    <w:rsid w:val="00E2286B"/>
    <w:rsid w:val="00E22DD2"/>
    <w:rsid w:val="00E23AB3"/>
    <w:rsid w:val="00E24D46"/>
    <w:rsid w:val="00E25277"/>
    <w:rsid w:val="00E25463"/>
    <w:rsid w:val="00E27189"/>
    <w:rsid w:val="00E2791E"/>
    <w:rsid w:val="00E27DEB"/>
    <w:rsid w:val="00E30A6F"/>
    <w:rsid w:val="00E31611"/>
    <w:rsid w:val="00E33985"/>
    <w:rsid w:val="00E341EB"/>
    <w:rsid w:val="00E34396"/>
    <w:rsid w:val="00E34D33"/>
    <w:rsid w:val="00E34F8A"/>
    <w:rsid w:val="00E361B7"/>
    <w:rsid w:val="00E36449"/>
    <w:rsid w:val="00E3661F"/>
    <w:rsid w:val="00E3662A"/>
    <w:rsid w:val="00E36B39"/>
    <w:rsid w:val="00E377D8"/>
    <w:rsid w:val="00E37CCB"/>
    <w:rsid w:val="00E409EB"/>
    <w:rsid w:val="00E40BC7"/>
    <w:rsid w:val="00E411B9"/>
    <w:rsid w:val="00E414FC"/>
    <w:rsid w:val="00E42519"/>
    <w:rsid w:val="00E442A3"/>
    <w:rsid w:val="00E44411"/>
    <w:rsid w:val="00E44EF5"/>
    <w:rsid w:val="00E455E3"/>
    <w:rsid w:val="00E46A24"/>
    <w:rsid w:val="00E46D3D"/>
    <w:rsid w:val="00E47894"/>
    <w:rsid w:val="00E50780"/>
    <w:rsid w:val="00E50A75"/>
    <w:rsid w:val="00E50B85"/>
    <w:rsid w:val="00E50BB2"/>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A57"/>
    <w:rsid w:val="00E60B9B"/>
    <w:rsid w:val="00E60FAE"/>
    <w:rsid w:val="00E61013"/>
    <w:rsid w:val="00E612A1"/>
    <w:rsid w:val="00E62852"/>
    <w:rsid w:val="00E62E87"/>
    <w:rsid w:val="00E6364A"/>
    <w:rsid w:val="00E63DE1"/>
    <w:rsid w:val="00E66080"/>
    <w:rsid w:val="00E66F75"/>
    <w:rsid w:val="00E72196"/>
    <w:rsid w:val="00E72C73"/>
    <w:rsid w:val="00E736AC"/>
    <w:rsid w:val="00E73720"/>
    <w:rsid w:val="00E73722"/>
    <w:rsid w:val="00E744B9"/>
    <w:rsid w:val="00E75328"/>
    <w:rsid w:val="00E757BB"/>
    <w:rsid w:val="00E75F61"/>
    <w:rsid w:val="00E7796B"/>
    <w:rsid w:val="00E8199B"/>
    <w:rsid w:val="00E839C5"/>
    <w:rsid w:val="00E83A66"/>
    <w:rsid w:val="00E84AF0"/>
    <w:rsid w:val="00E84BF6"/>
    <w:rsid w:val="00E8562E"/>
    <w:rsid w:val="00E87436"/>
    <w:rsid w:val="00E87844"/>
    <w:rsid w:val="00E87CF5"/>
    <w:rsid w:val="00E901CC"/>
    <w:rsid w:val="00E908D2"/>
    <w:rsid w:val="00E90EE8"/>
    <w:rsid w:val="00E9174C"/>
    <w:rsid w:val="00E9273C"/>
    <w:rsid w:val="00E9310C"/>
    <w:rsid w:val="00E931DF"/>
    <w:rsid w:val="00E93531"/>
    <w:rsid w:val="00E93A1D"/>
    <w:rsid w:val="00E93D8D"/>
    <w:rsid w:val="00E949D7"/>
    <w:rsid w:val="00E94C9A"/>
    <w:rsid w:val="00E96F95"/>
    <w:rsid w:val="00E9712C"/>
    <w:rsid w:val="00EA0A4D"/>
    <w:rsid w:val="00EA0C07"/>
    <w:rsid w:val="00EA2834"/>
    <w:rsid w:val="00EA3170"/>
    <w:rsid w:val="00EA53EA"/>
    <w:rsid w:val="00EA5FC3"/>
    <w:rsid w:val="00EA6040"/>
    <w:rsid w:val="00EA6405"/>
    <w:rsid w:val="00EA6846"/>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C012E"/>
    <w:rsid w:val="00EC08BF"/>
    <w:rsid w:val="00EC0C11"/>
    <w:rsid w:val="00EC1392"/>
    <w:rsid w:val="00EC171A"/>
    <w:rsid w:val="00EC1D8E"/>
    <w:rsid w:val="00EC2B11"/>
    <w:rsid w:val="00EC34B0"/>
    <w:rsid w:val="00EC3C15"/>
    <w:rsid w:val="00EC4AB2"/>
    <w:rsid w:val="00EC5359"/>
    <w:rsid w:val="00EC6DD6"/>
    <w:rsid w:val="00EC7925"/>
    <w:rsid w:val="00EC7DF9"/>
    <w:rsid w:val="00ED02A5"/>
    <w:rsid w:val="00ED10C5"/>
    <w:rsid w:val="00ED1A8C"/>
    <w:rsid w:val="00ED25B1"/>
    <w:rsid w:val="00ED295E"/>
    <w:rsid w:val="00ED2EEF"/>
    <w:rsid w:val="00ED3057"/>
    <w:rsid w:val="00ED3305"/>
    <w:rsid w:val="00ED35D1"/>
    <w:rsid w:val="00ED3FFD"/>
    <w:rsid w:val="00ED44EA"/>
    <w:rsid w:val="00ED47FC"/>
    <w:rsid w:val="00ED50D4"/>
    <w:rsid w:val="00ED5110"/>
    <w:rsid w:val="00ED5877"/>
    <w:rsid w:val="00ED62F9"/>
    <w:rsid w:val="00ED64D7"/>
    <w:rsid w:val="00ED6E6D"/>
    <w:rsid w:val="00ED7996"/>
    <w:rsid w:val="00ED7F93"/>
    <w:rsid w:val="00EE050F"/>
    <w:rsid w:val="00EE096C"/>
    <w:rsid w:val="00EE0E9C"/>
    <w:rsid w:val="00EE1D1A"/>
    <w:rsid w:val="00EE1EFC"/>
    <w:rsid w:val="00EE2B1A"/>
    <w:rsid w:val="00EE364C"/>
    <w:rsid w:val="00EE44DC"/>
    <w:rsid w:val="00EE5525"/>
    <w:rsid w:val="00EE5FD1"/>
    <w:rsid w:val="00EE6D7F"/>
    <w:rsid w:val="00EE6EAE"/>
    <w:rsid w:val="00EE77F7"/>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B2"/>
    <w:rsid w:val="00F05925"/>
    <w:rsid w:val="00F06368"/>
    <w:rsid w:val="00F06AC2"/>
    <w:rsid w:val="00F07732"/>
    <w:rsid w:val="00F077A1"/>
    <w:rsid w:val="00F07F85"/>
    <w:rsid w:val="00F07F9D"/>
    <w:rsid w:val="00F120D5"/>
    <w:rsid w:val="00F12DB5"/>
    <w:rsid w:val="00F1343A"/>
    <w:rsid w:val="00F141E3"/>
    <w:rsid w:val="00F15EA6"/>
    <w:rsid w:val="00F160A9"/>
    <w:rsid w:val="00F16F40"/>
    <w:rsid w:val="00F17B53"/>
    <w:rsid w:val="00F17C2D"/>
    <w:rsid w:val="00F20EC2"/>
    <w:rsid w:val="00F224D1"/>
    <w:rsid w:val="00F229CB"/>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10A9"/>
    <w:rsid w:val="00F438DC"/>
    <w:rsid w:val="00F4399C"/>
    <w:rsid w:val="00F43B65"/>
    <w:rsid w:val="00F44958"/>
    <w:rsid w:val="00F44CA4"/>
    <w:rsid w:val="00F44E54"/>
    <w:rsid w:val="00F45118"/>
    <w:rsid w:val="00F45D28"/>
    <w:rsid w:val="00F46B52"/>
    <w:rsid w:val="00F5004D"/>
    <w:rsid w:val="00F50FE0"/>
    <w:rsid w:val="00F51883"/>
    <w:rsid w:val="00F5230D"/>
    <w:rsid w:val="00F52A27"/>
    <w:rsid w:val="00F54285"/>
    <w:rsid w:val="00F54469"/>
    <w:rsid w:val="00F54FB6"/>
    <w:rsid w:val="00F555FE"/>
    <w:rsid w:val="00F559AA"/>
    <w:rsid w:val="00F55B40"/>
    <w:rsid w:val="00F56936"/>
    <w:rsid w:val="00F572D6"/>
    <w:rsid w:val="00F578B5"/>
    <w:rsid w:val="00F5799D"/>
    <w:rsid w:val="00F60230"/>
    <w:rsid w:val="00F60427"/>
    <w:rsid w:val="00F608CF"/>
    <w:rsid w:val="00F60BF7"/>
    <w:rsid w:val="00F61066"/>
    <w:rsid w:val="00F61367"/>
    <w:rsid w:val="00F625C8"/>
    <w:rsid w:val="00F62A30"/>
    <w:rsid w:val="00F62E48"/>
    <w:rsid w:val="00F6313B"/>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31BE"/>
    <w:rsid w:val="00F73A66"/>
    <w:rsid w:val="00F73EF0"/>
    <w:rsid w:val="00F73EFB"/>
    <w:rsid w:val="00F7412A"/>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A3F"/>
    <w:rsid w:val="00F92FB1"/>
    <w:rsid w:val="00F9347D"/>
    <w:rsid w:val="00F93573"/>
    <w:rsid w:val="00F93FCD"/>
    <w:rsid w:val="00F94736"/>
    <w:rsid w:val="00F95C3D"/>
    <w:rsid w:val="00F969C3"/>
    <w:rsid w:val="00F976C6"/>
    <w:rsid w:val="00F97FEB"/>
    <w:rsid w:val="00FA022C"/>
    <w:rsid w:val="00FA0A34"/>
    <w:rsid w:val="00FA1021"/>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925"/>
    <w:rsid w:val="00FB5BE8"/>
    <w:rsid w:val="00FB7854"/>
    <w:rsid w:val="00FC05DA"/>
    <w:rsid w:val="00FC1D93"/>
    <w:rsid w:val="00FC1F8D"/>
    <w:rsid w:val="00FC23B6"/>
    <w:rsid w:val="00FC2847"/>
    <w:rsid w:val="00FC2FE4"/>
    <w:rsid w:val="00FC4278"/>
    <w:rsid w:val="00FC4E13"/>
    <w:rsid w:val="00FC5653"/>
    <w:rsid w:val="00FC5AEF"/>
    <w:rsid w:val="00FC6318"/>
    <w:rsid w:val="00FC6BE4"/>
    <w:rsid w:val="00FC6DDE"/>
    <w:rsid w:val="00FC7788"/>
    <w:rsid w:val="00FC7CD2"/>
    <w:rsid w:val="00FD0581"/>
    <w:rsid w:val="00FD0FB5"/>
    <w:rsid w:val="00FD178E"/>
    <w:rsid w:val="00FD1FCC"/>
    <w:rsid w:val="00FD2288"/>
    <w:rsid w:val="00FD4EBC"/>
    <w:rsid w:val="00FD5C38"/>
    <w:rsid w:val="00FD6234"/>
    <w:rsid w:val="00FD69BC"/>
    <w:rsid w:val="00FD6F3E"/>
    <w:rsid w:val="00FD72CC"/>
    <w:rsid w:val="00FD7F56"/>
    <w:rsid w:val="00FE0577"/>
    <w:rsid w:val="00FE18A2"/>
    <w:rsid w:val="00FE1E47"/>
    <w:rsid w:val="00FE1F62"/>
    <w:rsid w:val="00FE20A8"/>
    <w:rsid w:val="00FE2A05"/>
    <w:rsid w:val="00FE30D0"/>
    <w:rsid w:val="00FE3A14"/>
    <w:rsid w:val="00FE3A6C"/>
    <w:rsid w:val="00FE3FA9"/>
    <w:rsid w:val="00FE47F5"/>
    <w:rsid w:val="00FE6CBD"/>
    <w:rsid w:val="00FE6DBB"/>
    <w:rsid w:val="00FE6F2E"/>
    <w:rsid w:val="00FE791B"/>
    <w:rsid w:val="00FF0077"/>
    <w:rsid w:val="00FF0C0E"/>
    <w:rsid w:val="00FF1993"/>
    <w:rsid w:val="00FF2381"/>
    <w:rsid w:val="00FF2D88"/>
    <w:rsid w:val="00FF3CF5"/>
    <w:rsid w:val="00FF457B"/>
    <w:rsid w:val="00FF49FE"/>
    <w:rsid w:val="00FF4B88"/>
    <w:rsid w:val="00FF5C94"/>
    <w:rsid w:val="00FF763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FB51-F6EE-410F-BCEB-0CCC0497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3375</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NOTES TO THE ACCOUNT</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Kok</cp:lastModifiedBy>
  <cp:revision>12</cp:revision>
  <cp:lastPrinted>2013-11-27T03:53:00Z</cp:lastPrinted>
  <dcterms:created xsi:type="dcterms:W3CDTF">2013-11-15T08:41:00Z</dcterms:created>
  <dcterms:modified xsi:type="dcterms:W3CDTF">2013-11-27T08:36:00Z</dcterms:modified>
</cp:coreProperties>
</file>