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87" w:rsidRPr="00C95959" w:rsidRDefault="00161587" w:rsidP="00161587">
      <w:pPr>
        <w:pStyle w:val="Heading1"/>
        <w:rPr>
          <w:rFonts w:ascii="Arial" w:hAnsi="Arial" w:cs="Arial"/>
          <w:sz w:val="20"/>
          <w:szCs w:val="20"/>
        </w:rPr>
      </w:pPr>
      <w:r w:rsidRPr="00C95959">
        <w:rPr>
          <w:rFonts w:ascii="Arial" w:hAnsi="Arial" w:cs="Arial"/>
          <w:sz w:val="20"/>
          <w:szCs w:val="20"/>
        </w:rPr>
        <w:t>KNUSFORD BERHAD</w:t>
      </w:r>
    </w:p>
    <w:p w:rsidR="00161587" w:rsidRPr="00B52987" w:rsidRDefault="00161587" w:rsidP="00161587">
      <w:pPr>
        <w:jc w:val="center"/>
        <w:rPr>
          <w:rFonts w:ascii="Arial" w:hAnsi="Arial" w:cs="Arial"/>
          <w:sz w:val="16"/>
          <w:szCs w:val="16"/>
        </w:rPr>
      </w:pPr>
      <w:r w:rsidRPr="00B52987">
        <w:rPr>
          <w:rFonts w:ascii="Arial" w:hAnsi="Arial" w:cs="Arial"/>
          <w:sz w:val="16"/>
          <w:szCs w:val="16"/>
        </w:rPr>
        <w:t>(380100-D)</w:t>
      </w:r>
    </w:p>
    <w:p w:rsidR="00161587" w:rsidRPr="00B52987" w:rsidRDefault="00161587" w:rsidP="00161587">
      <w:pPr>
        <w:tabs>
          <w:tab w:val="left" w:pos="5386"/>
        </w:tabs>
        <w:jc w:val="center"/>
        <w:rPr>
          <w:rFonts w:ascii="Arial" w:hAnsi="Arial" w:cs="Arial"/>
          <w:sz w:val="16"/>
          <w:szCs w:val="16"/>
        </w:rPr>
      </w:pPr>
      <w:r w:rsidRPr="00B52987">
        <w:rPr>
          <w:rFonts w:ascii="Arial" w:hAnsi="Arial" w:cs="Arial"/>
          <w:sz w:val="16"/>
          <w:szCs w:val="16"/>
        </w:rPr>
        <w:t>(Incorporated in Malaysia)</w:t>
      </w:r>
    </w:p>
    <w:p w:rsidR="00161587" w:rsidRPr="00C95959" w:rsidRDefault="00161587" w:rsidP="00161587">
      <w:pPr>
        <w:jc w:val="center"/>
        <w:rPr>
          <w:rFonts w:ascii="Arial" w:hAnsi="Arial" w:cs="Arial"/>
          <w:sz w:val="20"/>
          <w:szCs w:val="20"/>
        </w:rPr>
      </w:pPr>
    </w:p>
    <w:p w:rsidR="00161587" w:rsidRPr="00C95959" w:rsidRDefault="00161587" w:rsidP="00161587">
      <w:pPr>
        <w:jc w:val="center"/>
        <w:rPr>
          <w:rFonts w:ascii="Arial" w:hAnsi="Arial" w:cs="Arial"/>
          <w:sz w:val="20"/>
          <w:szCs w:val="20"/>
        </w:rPr>
      </w:pPr>
    </w:p>
    <w:p w:rsidR="00161587" w:rsidRPr="00C95959" w:rsidRDefault="00161587" w:rsidP="00161587">
      <w:pPr>
        <w:pStyle w:val="Heading1"/>
        <w:rPr>
          <w:rFonts w:ascii="Arial" w:hAnsi="Arial" w:cs="Arial"/>
          <w:sz w:val="20"/>
          <w:szCs w:val="20"/>
        </w:rPr>
      </w:pPr>
      <w:r w:rsidRPr="00C95959">
        <w:rPr>
          <w:rFonts w:ascii="Arial" w:hAnsi="Arial" w:cs="Arial"/>
          <w:sz w:val="20"/>
          <w:szCs w:val="20"/>
        </w:rPr>
        <w:t>NOTICE OF EXTRAORDINARY GENERAL MEETING</w:t>
      </w:r>
    </w:p>
    <w:p w:rsidR="00161587" w:rsidRPr="00C95959" w:rsidRDefault="00161587" w:rsidP="00161587">
      <w:pPr>
        <w:jc w:val="center"/>
        <w:rPr>
          <w:rFonts w:ascii="Arial" w:hAnsi="Arial" w:cs="Arial"/>
          <w:sz w:val="20"/>
          <w:szCs w:val="20"/>
        </w:rPr>
      </w:pPr>
    </w:p>
    <w:p w:rsidR="00161587" w:rsidRPr="007110ED" w:rsidRDefault="00161587" w:rsidP="00161587">
      <w:pPr>
        <w:tabs>
          <w:tab w:val="left" w:pos="5386"/>
        </w:tabs>
        <w:jc w:val="both"/>
        <w:rPr>
          <w:rFonts w:ascii="Arial" w:hAnsi="Arial" w:cs="Arial"/>
          <w:sz w:val="20"/>
          <w:szCs w:val="20"/>
        </w:rPr>
      </w:pPr>
      <w:r w:rsidRPr="00C95959">
        <w:rPr>
          <w:rFonts w:ascii="Arial" w:hAnsi="Arial" w:cs="Arial"/>
          <w:b/>
          <w:sz w:val="20"/>
          <w:szCs w:val="20"/>
        </w:rPr>
        <w:t xml:space="preserve">NOTICE IS HEREBY GIVEN </w:t>
      </w:r>
      <w:r w:rsidRPr="007110ED">
        <w:rPr>
          <w:rFonts w:ascii="Arial" w:hAnsi="Arial" w:cs="Arial"/>
          <w:b/>
          <w:sz w:val="20"/>
          <w:szCs w:val="20"/>
        </w:rPr>
        <w:t>THAT</w:t>
      </w:r>
      <w:r w:rsidRPr="007110ED">
        <w:rPr>
          <w:rFonts w:ascii="Arial" w:hAnsi="Arial" w:cs="Arial"/>
          <w:sz w:val="20"/>
          <w:szCs w:val="20"/>
        </w:rPr>
        <w:t xml:space="preserve"> an Extraordinary General Meeting of </w:t>
      </w:r>
      <w:proofErr w:type="spellStart"/>
      <w:r w:rsidRPr="007110ED">
        <w:rPr>
          <w:rFonts w:ascii="Arial" w:hAnsi="Arial" w:cs="Arial"/>
          <w:sz w:val="20"/>
          <w:szCs w:val="20"/>
        </w:rPr>
        <w:t>Knusf</w:t>
      </w:r>
      <w:r w:rsidR="002971C4">
        <w:rPr>
          <w:rFonts w:ascii="Arial" w:hAnsi="Arial" w:cs="Arial"/>
          <w:sz w:val="20"/>
          <w:szCs w:val="20"/>
        </w:rPr>
        <w:t>ord</w:t>
      </w:r>
      <w:proofErr w:type="spellEnd"/>
      <w:r w:rsidR="002971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71C4">
        <w:rPr>
          <w:rFonts w:ascii="Arial" w:hAnsi="Arial" w:cs="Arial"/>
          <w:sz w:val="20"/>
          <w:szCs w:val="20"/>
        </w:rPr>
        <w:t>Berhad</w:t>
      </w:r>
      <w:proofErr w:type="spellEnd"/>
      <w:r w:rsidR="002971C4">
        <w:rPr>
          <w:rFonts w:ascii="Arial" w:hAnsi="Arial" w:cs="Arial"/>
          <w:sz w:val="20"/>
          <w:szCs w:val="20"/>
        </w:rPr>
        <w:t xml:space="preserve"> will be held at the </w:t>
      </w:r>
      <w:r w:rsidRPr="007110ED">
        <w:rPr>
          <w:rFonts w:ascii="Arial" w:hAnsi="Arial" w:cs="Arial"/>
          <w:sz w:val="20"/>
          <w:szCs w:val="20"/>
        </w:rPr>
        <w:t>Grand Seasons Hotel</w:t>
      </w:r>
      <w:proofErr w:type="gramStart"/>
      <w:r w:rsidRPr="007110ED">
        <w:rPr>
          <w:rFonts w:ascii="Arial" w:hAnsi="Arial" w:cs="Arial"/>
          <w:sz w:val="20"/>
          <w:szCs w:val="20"/>
        </w:rPr>
        <w:t>,72</w:t>
      </w:r>
      <w:proofErr w:type="gramEnd"/>
      <w:r w:rsidRPr="007110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10ED">
        <w:rPr>
          <w:rFonts w:ascii="Arial" w:hAnsi="Arial" w:cs="Arial"/>
          <w:sz w:val="20"/>
          <w:szCs w:val="20"/>
        </w:rPr>
        <w:t>J</w:t>
      </w:r>
      <w:r w:rsidR="00E0266D">
        <w:rPr>
          <w:rFonts w:ascii="Arial" w:hAnsi="Arial" w:cs="Arial"/>
          <w:sz w:val="20"/>
          <w:szCs w:val="20"/>
        </w:rPr>
        <w:t>alan</w:t>
      </w:r>
      <w:proofErr w:type="spellEnd"/>
      <w:r w:rsidR="00E0266D">
        <w:rPr>
          <w:rFonts w:ascii="Arial" w:hAnsi="Arial" w:cs="Arial"/>
          <w:sz w:val="20"/>
          <w:szCs w:val="20"/>
        </w:rPr>
        <w:t xml:space="preserve"> Pahang, 53000 Kuala Lumpur </w:t>
      </w:r>
      <w:r w:rsidR="00402214">
        <w:rPr>
          <w:rFonts w:ascii="Arial" w:hAnsi="Arial" w:cs="Arial"/>
          <w:sz w:val="20"/>
          <w:szCs w:val="20"/>
        </w:rPr>
        <w:t>on Monday, 7 October 2013</w:t>
      </w:r>
      <w:r w:rsidR="002971C4">
        <w:rPr>
          <w:rFonts w:ascii="Arial" w:hAnsi="Arial" w:cs="Arial"/>
          <w:sz w:val="20"/>
          <w:szCs w:val="20"/>
        </w:rPr>
        <w:t xml:space="preserve"> at 11.30 a.m. </w:t>
      </w:r>
      <w:r w:rsidRPr="007110ED">
        <w:rPr>
          <w:rFonts w:ascii="Arial" w:hAnsi="Arial" w:cs="Arial"/>
          <w:sz w:val="20"/>
          <w:szCs w:val="20"/>
        </w:rPr>
        <w:t>for the purpose of considering and if thought fit, passing the following resolutions:</w:t>
      </w:r>
    </w:p>
    <w:p w:rsidR="00161587" w:rsidRPr="007110ED" w:rsidRDefault="00161587" w:rsidP="00161587">
      <w:pPr>
        <w:tabs>
          <w:tab w:val="left" w:pos="5386"/>
        </w:tabs>
        <w:jc w:val="both"/>
        <w:rPr>
          <w:rFonts w:ascii="Arial" w:hAnsi="Arial" w:cs="Arial"/>
          <w:sz w:val="20"/>
          <w:szCs w:val="20"/>
        </w:rPr>
      </w:pPr>
    </w:p>
    <w:p w:rsidR="00161587" w:rsidRPr="007110ED" w:rsidRDefault="00161587" w:rsidP="00161587">
      <w:pPr>
        <w:pStyle w:val="BodyTextIndent"/>
        <w:ind w:left="0" w:firstLine="0"/>
        <w:jc w:val="left"/>
        <w:rPr>
          <w:rFonts w:ascii="Arial" w:hAnsi="Arial" w:cs="Arial"/>
          <w:sz w:val="20"/>
          <w:szCs w:val="20"/>
        </w:rPr>
      </w:pPr>
      <w:r w:rsidRPr="007110ED">
        <w:rPr>
          <w:rFonts w:ascii="Arial" w:hAnsi="Arial" w:cs="Arial"/>
          <w:sz w:val="20"/>
          <w:szCs w:val="20"/>
        </w:rPr>
        <w:t>SPECIAL RESOLUTION</w:t>
      </w:r>
    </w:p>
    <w:p w:rsidR="00161587" w:rsidRPr="007110ED" w:rsidRDefault="00161587" w:rsidP="00161587">
      <w:pPr>
        <w:pStyle w:val="BodyTextIndent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161587" w:rsidRPr="007110ED" w:rsidRDefault="00161587" w:rsidP="00161587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 w:rsidRPr="007110ED">
        <w:rPr>
          <w:rFonts w:ascii="Arial" w:hAnsi="Arial" w:cs="Arial"/>
          <w:sz w:val="20"/>
          <w:szCs w:val="20"/>
        </w:rPr>
        <w:t>PROPOSED AMENDMENT TO THE ARTICLES OF ASSOCIATION</w:t>
      </w:r>
    </w:p>
    <w:p w:rsidR="00161587" w:rsidRPr="007110ED" w:rsidRDefault="00161587" w:rsidP="00161587">
      <w:pPr>
        <w:tabs>
          <w:tab w:val="left" w:pos="5386"/>
        </w:tabs>
        <w:jc w:val="both"/>
        <w:rPr>
          <w:rFonts w:ascii="Arial" w:hAnsi="Arial" w:cs="Arial"/>
          <w:sz w:val="20"/>
          <w:szCs w:val="20"/>
        </w:rPr>
      </w:pPr>
    </w:p>
    <w:p w:rsidR="00161587" w:rsidRPr="00586BD1" w:rsidRDefault="00161587" w:rsidP="00161587">
      <w:pPr>
        <w:pStyle w:val="BodyText2"/>
        <w:rPr>
          <w:rFonts w:ascii="Arial" w:hAnsi="Arial" w:cs="Arial"/>
          <w:i w:val="0"/>
          <w:szCs w:val="20"/>
        </w:rPr>
      </w:pPr>
      <w:r w:rsidRPr="007110ED">
        <w:rPr>
          <w:rFonts w:ascii="Arial" w:hAnsi="Arial" w:cs="Arial"/>
          <w:i w:val="0"/>
          <w:szCs w:val="20"/>
        </w:rPr>
        <w:t xml:space="preserve">“THAT the proposed </w:t>
      </w:r>
      <w:r w:rsidR="00E0266D">
        <w:rPr>
          <w:rFonts w:ascii="Arial" w:hAnsi="Arial" w:cs="Arial"/>
          <w:i w:val="0"/>
          <w:szCs w:val="20"/>
        </w:rPr>
        <w:t>amendment</w:t>
      </w:r>
      <w:r w:rsidRPr="007110ED">
        <w:rPr>
          <w:rFonts w:ascii="Arial" w:hAnsi="Arial" w:cs="Arial"/>
          <w:i w:val="0"/>
          <w:szCs w:val="20"/>
        </w:rPr>
        <w:t xml:space="preserve"> to the Articles of Association of the Company as disclosed in Section 2 of the Ci</w:t>
      </w:r>
      <w:r w:rsidR="002971C4">
        <w:rPr>
          <w:rFonts w:ascii="Arial" w:hAnsi="Arial" w:cs="Arial"/>
          <w:i w:val="0"/>
          <w:szCs w:val="20"/>
        </w:rPr>
        <w:t>rcular to shareholders dated 13 September</w:t>
      </w:r>
      <w:r w:rsidRPr="007110ED">
        <w:rPr>
          <w:rFonts w:ascii="Arial" w:hAnsi="Arial" w:cs="Arial"/>
          <w:i w:val="0"/>
          <w:szCs w:val="20"/>
        </w:rPr>
        <w:t xml:space="preserve"> 2013 be and hereby approved and adopted”</w:t>
      </w:r>
    </w:p>
    <w:p w:rsidR="00161587" w:rsidRDefault="00161587" w:rsidP="00161587">
      <w:pPr>
        <w:jc w:val="both"/>
        <w:rPr>
          <w:rFonts w:ascii="Arial" w:hAnsi="Arial" w:cs="Arial"/>
          <w:b/>
          <w:sz w:val="20"/>
          <w:szCs w:val="20"/>
        </w:rPr>
      </w:pPr>
    </w:p>
    <w:p w:rsidR="00161587" w:rsidRDefault="00161587" w:rsidP="00161587">
      <w:pPr>
        <w:jc w:val="both"/>
        <w:rPr>
          <w:rFonts w:ascii="Arial" w:hAnsi="Arial" w:cs="Arial"/>
          <w:b/>
          <w:sz w:val="20"/>
          <w:szCs w:val="20"/>
        </w:rPr>
      </w:pPr>
    </w:p>
    <w:p w:rsidR="00161587" w:rsidRPr="00C95959" w:rsidRDefault="00161587" w:rsidP="00161587">
      <w:pPr>
        <w:jc w:val="both"/>
        <w:rPr>
          <w:rFonts w:ascii="Arial" w:hAnsi="Arial" w:cs="Arial"/>
          <w:b/>
          <w:sz w:val="20"/>
          <w:szCs w:val="20"/>
        </w:rPr>
      </w:pPr>
      <w:r w:rsidRPr="00C95959">
        <w:rPr>
          <w:rFonts w:ascii="Arial" w:hAnsi="Arial" w:cs="Arial"/>
          <w:b/>
          <w:sz w:val="20"/>
          <w:szCs w:val="20"/>
        </w:rPr>
        <w:t>BY ORDER OF THE BOARD</w:t>
      </w:r>
    </w:p>
    <w:p w:rsidR="00161587" w:rsidRPr="00C95959" w:rsidRDefault="00161587" w:rsidP="00161587">
      <w:pPr>
        <w:jc w:val="both"/>
        <w:rPr>
          <w:rFonts w:ascii="Arial" w:hAnsi="Arial" w:cs="Arial"/>
          <w:b/>
          <w:sz w:val="20"/>
          <w:szCs w:val="20"/>
        </w:rPr>
      </w:pPr>
    </w:p>
    <w:p w:rsidR="00161587" w:rsidRPr="00C95959" w:rsidRDefault="00161587" w:rsidP="00161587">
      <w:pPr>
        <w:jc w:val="both"/>
        <w:rPr>
          <w:rFonts w:ascii="Arial" w:hAnsi="Arial" w:cs="Arial"/>
          <w:b/>
          <w:sz w:val="20"/>
          <w:szCs w:val="20"/>
        </w:rPr>
      </w:pPr>
    </w:p>
    <w:p w:rsidR="00161587" w:rsidRPr="00C95959" w:rsidRDefault="00161587" w:rsidP="00161587">
      <w:pPr>
        <w:jc w:val="both"/>
        <w:rPr>
          <w:rFonts w:ascii="Arial" w:hAnsi="Arial" w:cs="Arial"/>
          <w:b/>
          <w:sz w:val="20"/>
          <w:szCs w:val="20"/>
        </w:rPr>
      </w:pPr>
    </w:p>
    <w:p w:rsidR="00161587" w:rsidRDefault="00161587" w:rsidP="00161587">
      <w:pPr>
        <w:jc w:val="both"/>
        <w:rPr>
          <w:rFonts w:ascii="Arial" w:hAnsi="Arial" w:cs="Arial"/>
          <w:b/>
          <w:sz w:val="20"/>
          <w:szCs w:val="20"/>
        </w:rPr>
      </w:pPr>
    </w:p>
    <w:p w:rsidR="00161587" w:rsidRPr="00C95959" w:rsidRDefault="00161587" w:rsidP="00161587">
      <w:pPr>
        <w:jc w:val="both"/>
        <w:rPr>
          <w:rFonts w:ascii="Arial" w:hAnsi="Arial" w:cs="Arial"/>
          <w:sz w:val="20"/>
          <w:szCs w:val="20"/>
        </w:rPr>
      </w:pPr>
      <w:r w:rsidRPr="00C95959">
        <w:rPr>
          <w:rFonts w:ascii="Arial" w:hAnsi="Arial" w:cs="Arial"/>
          <w:b/>
          <w:sz w:val="20"/>
          <w:szCs w:val="20"/>
        </w:rPr>
        <w:t xml:space="preserve">Lim </w:t>
      </w:r>
      <w:proofErr w:type="spellStart"/>
      <w:r w:rsidRPr="00C95959">
        <w:rPr>
          <w:rFonts w:ascii="Arial" w:hAnsi="Arial" w:cs="Arial"/>
          <w:b/>
          <w:sz w:val="20"/>
          <w:szCs w:val="20"/>
        </w:rPr>
        <w:t>Thiam</w:t>
      </w:r>
      <w:proofErr w:type="spellEnd"/>
      <w:r w:rsidRPr="00C9595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95959">
        <w:rPr>
          <w:rFonts w:ascii="Arial" w:hAnsi="Arial" w:cs="Arial"/>
          <w:b/>
          <w:sz w:val="20"/>
          <w:szCs w:val="20"/>
        </w:rPr>
        <w:t>Wah</w:t>
      </w:r>
      <w:proofErr w:type="spellEnd"/>
      <w:r w:rsidRPr="00C95959">
        <w:rPr>
          <w:rFonts w:ascii="Arial" w:hAnsi="Arial" w:cs="Arial"/>
          <w:b/>
          <w:sz w:val="20"/>
          <w:szCs w:val="20"/>
        </w:rPr>
        <w:t xml:space="preserve">, </w:t>
      </w:r>
      <w:r w:rsidRPr="00C95959">
        <w:rPr>
          <w:rFonts w:ascii="Arial" w:hAnsi="Arial" w:cs="Arial"/>
          <w:sz w:val="20"/>
          <w:szCs w:val="20"/>
        </w:rPr>
        <w:t>ACIS</w:t>
      </w:r>
    </w:p>
    <w:p w:rsidR="00161587" w:rsidRPr="00C95959" w:rsidRDefault="00161587" w:rsidP="00161587">
      <w:pPr>
        <w:jc w:val="both"/>
        <w:rPr>
          <w:rFonts w:ascii="Arial" w:hAnsi="Arial" w:cs="Arial"/>
          <w:sz w:val="20"/>
          <w:szCs w:val="20"/>
        </w:rPr>
      </w:pPr>
      <w:r w:rsidRPr="00C95959">
        <w:rPr>
          <w:rFonts w:ascii="Arial" w:hAnsi="Arial" w:cs="Arial"/>
          <w:sz w:val="20"/>
          <w:szCs w:val="20"/>
        </w:rPr>
        <w:t>Secretary</w:t>
      </w:r>
    </w:p>
    <w:p w:rsidR="00161587" w:rsidRDefault="00161587" w:rsidP="00161587">
      <w:pPr>
        <w:jc w:val="both"/>
        <w:rPr>
          <w:rFonts w:ascii="Arial" w:hAnsi="Arial" w:cs="Arial"/>
          <w:sz w:val="20"/>
          <w:szCs w:val="20"/>
        </w:rPr>
      </w:pPr>
      <w:r w:rsidRPr="00C95959">
        <w:rPr>
          <w:rFonts w:ascii="Arial" w:hAnsi="Arial" w:cs="Arial"/>
          <w:sz w:val="20"/>
          <w:szCs w:val="20"/>
        </w:rPr>
        <w:t xml:space="preserve">Kuala </w:t>
      </w:r>
      <w:r w:rsidRPr="007110ED">
        <w:rPr>
          <w:rFonts w:ascii="Arial" w:hAnsi="Arial" w:cs="Arial"/>
          <w:sz w:val="20"/>
          <w:szCs w:val="20"/>
        </w:rPr>
        <w:t>Lumpur</w:t>
      </w:r>
    </w:p>
    <w:p w:rsidR="002971C4" w:rsidRPr="002971C4" w:rsidRDefault="002971C4" w:rsidP="002971C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971C4">
        <w:rPr>
          <w:rFonts w:ascii="Arial" w:hAnsi="Arial" w:cs="Arial"/>
          <w:sz w:val="20"/>
          <w:szCs w:val="20"/>
        </w:rPr>
        <w:t>13 September 2013</w:t>
      </w:r>
    </w:p>
    <w:p w:rsidR="00161587" w:rsidRPr="00C95959" w:rsidRDefault="00161587" w:rsidP="00161587">
      <w:pPr>
        <w:jc w:val="both"/>
        <w:rPr>
          <w:rFonts w:ascii="Arial" w:hAnsi="Arial" w:cs="Arial"/>
          <w:sz w:val="20"/>
          <w:szCs w:val="20"/>
        </w:rPr>
      </w:pPr>
    </w:p>
    <w:p w:rsidR="00161587" w:rsidRPr="00C95959" w:rsidRDefault="00161587" w:rsidP="00161587">
      <w:pPr>
        <w:jc w:val="both"/>
        <w:rPr>
          <w:rFonts w:ascii="Arial" w:hAnsi="Arial" w:cs="Arial"/>
          <w:sz w:val="20"/>
          <w:szCs w:val="20"/>
        </w:rPr>
      </w:pPr>
    </w:p>
    <w:p w:rsidR="00161587" w:rsidRDefault="00161587" w:rsidP="001615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C95959">
        <w:rPr>
          <w:rFonts w:ascii="Arial" w:hAnsi="Arial" w:cs="Arial"/>
          <w:b/>
          <w:bCs/>
          <w:sz w:val="20"/>
          <w:szCs w:val="20"/>
          <w:lang w:eastAsia="zh-CN"/>
        </w:rPr>
        <w:t>Notes:</w:t>
      </w:r>
    </w:p>
    <w:p w:rsidR="00161587" w:rsidRPr="00C95959" w:rsidRDefault="00161587" w:rsidP="001615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161587" w:rsidRPr="00C95959" w:rsidRDefault="00161587" w:rsidP="0016158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zh-CN"/>
        </w:rPr>
      </w:pPr>
      <w:r w:rsidRPr="00C95959">
        <w:rPr>
          <w:rFonts w:ascii="Arial" w:hAnsi="Arial" w:cs="Arial"/>
          <w:sz w:val="20"/>
          <w:szCs w:val="20"/>
          <w:lang w:eastAsia="zh-CN"/>
        </w:rPr>
        <w:t>1.</w:t>
      </w:r>
      <w:r w:rsidRPr="00C95959">
        <w:rPr>
          <w:rFonts w:ascii="Arial" w:hAnsi="Arial" w:cs="Arial"/>
          <w:sz w:val="20"/>
          <w:szCs w:val="20"/>
          <w:lang w:eastAsia="zh-CN"/>
        </w:rPr>
        <w:tab/>
        <w:t xml:space="preserve">Only depositors whose names appear in the General Meeting Record of Depositors as </w:t>
      </w:r>
      <w:r w:rsidR="00E0266D">
        <w:rPr>
          <w:rFonts w:ascii="Arial" w:hAnsi="Arial" w:cs="Arial"/>
          <w:sz w:val="20"/>
          <w:szCs w:val="20"/>
          <w:lang w:eastAsia="zh-CN"/>
        </w:rPr>
        <w:t xml:space="preserve">at 30 September </w:t>
      </w:r>
      <w:r w:rsidRPr="007110ED">
        <w:rPr>
          <w:rFonts w:ascii="Arial" w:hAnsi="Arial" w:cs="Arial"/>
          <w:sz w:val="20"/>
          <w:szCs w:val="20"/>
          <w:lang w:eastAsia="zh-CN"/>
        </w:rPr>
        <w:t>2013</w:t>
      </w:r>
      <w:r w:rsidRPr="00C95959">
        <w:rPr>
          <w:rFonts w:ascii="Arial" w:hAnsi="Arial" w:cs="Arial"/>
          <w:sz w:val="20"/>
          <w:szCs w:val="20"/>
          <w:lang w:eastAsia="zh-CN"/>
        </w:rPr>
        <w:t xml:space="preserve"> shall be entitled to attend and vote at the Extraordinary General Meeting.</w:t>
      </w:r>
    </w:p>
    <w:p w:rsidR="00161587" w:rsidRDefault="00161587" w:rsidP="0016158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1587" w:rsidRPr="00C95959" w:rsidRDefault="00161587" w:rsidP="0016158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zh-CN"/>
        </w:rPr>
      </w:pPr>
      <w:r w:rsidRPr="00C95959">
        <w:rPr>
          <w:rFonts w:ascii="Arial" w:hAnsi="Arial" w:cs="Arial"/>
          <w:sz w:val="20"/>
          <w:szCs w:val="20"/>
          <w:lang w:eastAsia="zh-CN"/>
        </w:rPr>
        <w:t>2.</w:t>
      </w:r>
      <w:r w:rsidRPr="00C95959">
        <w:rPr>
          <w:rFonts w:ascii="Arial" w:hAnsi="Arial" w:cs="Arial"/>
          <w:sz w:val="20"/>
          <w:szCs w:val="20"/>
          <w:lang w:eastAsia="zh-CN"/>
        </w:rPr>
        <w:tab/>
        <w:t xml:space="preserve">A member shall be entitled to appoint not more than two (2) proxies to attend and vote at the same meeting provided that where a member appoints two (2) </w:t>
      </w:r>
      <w:proofErr w:type="gramStart"/>
      <w:r w:rsidRPr="00C95959">
        <w:rPr>
          <w:rFonts w:ascii="Arial" w:hAnsi="Arial" w:cs="Arial"/>
          <w:sz w:val="20"/>
          <w:szCs w:val="20"/>
          <w:lang w:eastAsia="zh-CN"/>
        </w:rPr>
        <w:t>proxies,</w:t>
      </w:r>
      <w:proofErr w:type="gramEnd"/>
      <w:r w:rsidRPr="00C95959">
        <w:rPr>
          <w:rFonts w:ascii="Arial" w:hAnsi="Arial" w:cs="Arial"/>
          <w:sz w:val="20"/>
          <w:szCs w:val="20"/>
          <w:lang w:eastAsia="zh-CN"/>
        </w:rPr>
        <w:t xml:space="preserve"> the appointment shall be invalid unless he specifies the proportions of his shareholdings to be represented by each proxy.</w:t>
      </w:r>
    </w:p>
    <w:p w:rsidR="00161587" w:rsidRDefault="00161587" w:rsidP="0016158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1587" w:rsidRPr="00C95959" w:rsidRDefault="00161587" w:rsidP="0016158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zh-CN"/>
        </w:rPr>
      </w:pPr>
      <w:r w:rsidRPr="00C95959">
        <w:rPr>
          <w:rFonts w:ascii="Arial" w:hAnsi="Arial" w:cs="Arial"/>
          <w:sz w:val="20"/>
          <w:szCs w:val="20"/>
          <w:lang w:eastAsia="zh-CN"/>
        </w:rPr>
        <w:t>3.</w:t>
      </w:r>
      <w:r w:rsidRPr="00C95959">
        <w:rPr>
          <w:rFonts w:ascii="Arial" w:hAnsi="Arial" w:cs="Arial"/>
          <w:sz w:val="20"/>
          <w:szCs w:val="20"/>
          <w:lang w:eastAsia="zh-CN"/>
        </w:rPr>
        <w:tab/>
        <w:t>A proxy may but need not be a member of the Company and the provisions of Section 149 (1</w:t>
      </w:r>
      <w:proofErr w:type="gramStart"/>
      <w:r w:rsidRPr="00C95959">
        <w:rPr>
          <w:rFonts w:ascii="Arial" w:hAnsi="Arial" w:cs="Arial"/>
          <w:sz w:val="20"/>
          <w:szCs w:val="20"/>
          <w:lang w:eastAsia="zh-CN"/>
        </w:rPr>
        <w:t>)(</w:t>
      </w:r>
      <w:proofErr w:type="gramEnd"/>
      <w:r w:rsidRPr="00C95959">
        <w:rPr>
          <w:rFonts w:ascii="Arial" w:hAnsi="Arial" w:cs="Arial"/>
          <w:sz w:val="20"/>
          <w:szCs w:val="20"/>
          <w:lang w:eastAsia="zh-CN"/>
        </w:rPr>
        <w:t>b) of the Companies Act, 1965 shall not apply to the Company. There shall be no restriction as to the qualification of a proxy.</w:t>
      </w:r>
    </w:p>
    <w:p w:rsidR="00161587" w:rsidRDefault="00161587" w:rsidP="0016158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1587" w:rsidRPr="00C95959" w:rsidRDefault="00161587" w:rsidP="0016158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zh-CN"/>
        </w:rPr>
      </w:pPr>
      <w:r w:rsidRPr="00C95959">
        <w:rPr>
          <w:rFonts w:ascii="Arial" w:hAnsi="Arial" w:cs="Arial"/>
          <w:sz w:val="20"/>
          <w:szCs w:val="20"/>
          <w:lang w:eastAsia="zh-CN"/>
        </w:rPr>
        <w:t>4.</w:t>
      </w:r>
      <w:r w:rsidRPr="00C95959">
        <w:rPr>
          <w:rFonts w:ascii="Arial" w:hAnsi="Arial" w:cs="Arial"/>
          <w:sz w:val="20"/>
          <w:szCs w:val="20"/>
          <w:lang w:eastAsia="zh-CN"/>
        </w:rPr>
        <w:tab/>
        <w:t xml:space="preserve">For an exempt </w:t>
      </w:r>
      <w:proofErr w:type="spellStart"/>
      <w:r w:rsidRPr="00C95959">
        <w:rPr>
          <w:rFonts w:ascii="Arial" w:hAnsi="Arial" w:cs="Arial"/>
          <w:sz w:val="20"/>
          <w:szCs w:val="20"/>
          <w:lang w:eastAsia="zh-CN"/>
        </w:rPr>
        <w:t>authorised</w:t>
      </w:r>
      <w:proofErr w:type="spellEnd"/>
      <w:r w:rsidRPr="00C95959">
        <w:rPr>
          <w:rFonts w:ascii="Arial" w:hAnsi="Arial" w:cs="Arial"/>
          <w:sz w:val="20"/>
          <w:szCs w:val="20"/>
          <w:lang w:eastAsia="zh-CN"/>
        </w:rPr>
        <w:t xml:space="preserve"> nominee which holds ordinary shares in the Company for multiple beneficial owners in one securities account (”omnibus account”), there is no limit to the number of proxies which the exempt </w:t>
      </w:r>
      <w:proofErr w:type="spellStart"/>
      <w:r w:rsidRPr="00C95959">
        <w:rPr>
          <w:rFonts w:ascii="Arial" w:hAnsi="Arial" w:cs="Arial"/>
          <w:sz w:val="20"/>
          <w:szCs w:val="20"/>
          <w:lang w:eastAsia="zh-CN"/>
        </w:rPr>
        <w:t>authorised</w:t>
      </w:r>
      <w:proofErr w:type="spellEnd"/>
      <w:r w:rsidRPr="00C95959">
        <w:rPr>
          <w:rFonts w:ascii="Arial" w:hAnsi="Arial" w:cs="Arial"/>
          <w:sz w:val="20"/>
          <w:szCs w:val="20"/>
          <w:lang w:eastAsia="zh-CN"/>
        </w:rPr>
        <w:t xml:space="preserve"> nominee may appoint in respect of each omnibus account it holds.</w:t>
      </w:r>
    </w:p>
    <w:p w:rsidR="00161587" w:rsidRDefault="00161587" w:rsidP="0016158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1587" w:rsidRPr="00C95959" w:rsidRDefault="00161587" w:rsidP="0016158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zh-CN"/>
        </w:rPr>
      </w:pPr>
      <w:r w:rsidRPr="00C95959">
        <w:rPr>
          <w:rFonts w:ascii="Arial" w:hAnsi="Arial" w:cs="Arial"/>
          <w:sz w:val="20"/>
          <w:szCs w:val="20"/>
          <w:lang w:eastAsia="zh-CN"/>
        </w:rPr>
        <w:t xml:space="preserve">5. </w:t>
      </w:r>
      <w:r w:rsidRPr="00C95959">
        <w:rPr>
          <w:rFonts w:ascii="Arial" w:hAnsi="Arial" w:cs="Arial"/>
          <w:sz w:val="20"/>
          <w:szCs w:val="20"/>
          <w:lang w:eastAsia="zh-CN"/>
        </w:rPr>
        <w:tab/>
        <w:t xml:space="preserve">If the </w:t>
      </w:r>
      <w:proofErr w:type="spellStart"/>
      <w:r w:rsidRPr="00C95959">
        <w:rPr>
          <w:rFonts w:ascii="Arial" w:hAnsi="Arial" w:cs="Arial"/>
          <w:sz w:val="20"/>
          <w:szCs w:val="20"/>
          <w:lang w:eastAsia="zh-CN"/>
        </w:rPr>
        <w:t>appointor</w:t>
      </w:r>
      <w:proofErr w:type="spellEnd"/>
      <w:r w:rsidRPr="00C95959">
        <w:rPr>
          <w:rFonts w:ascii="Arial" w:hAnsi="Arial" w:cs="Arial"/>
          <w:sz w:val="20"/>
          <w:szCs w:val="20"/>
          <w:lang w:eastAsia="zh-CN"/>
        </w:rPr>
        <w:t xml:space="preserve"> is a corporation, the proxy form must be executed under its common seal or under the hand of an officer or attorney duly </w:t>
      </w:r>
      <w:proofErr w:type="spellStart"/>
      <w:r w:rsidRPr="00C95959">
        <w:rPr>
          <w:rFonts w:ascii="Arial" w:hAnsi="Arial" w:cs="Arial"/>
          <w:sz w:val="20"/>
          <w:szCs w:val="20"/>
          <w:lang w:eastAsia="zh-CN"/>
        </w:rPr>
        <w:t>authorised</w:t>
      </w:r>
      <w:proofErr w:type="spellEnd"/>
      <w:r w:rsidRPr="00C95959">
        <w:rPr>
          <w:rFonts w:ascii="Arial" w:hAnsi="Arial" w:cs="Arial"/>
          <w:sz w:val="20"/>
          <w:szCs w:val="20"/>
          <w:lang w:eastAsia="zh-CN"/>
        </w:rPr>
        <w:t>.</w:t>
      </w:r>
    </w:p>
    <w:p w:rsidR="00161587" w:rsidRDefault="00161587" w:rsidP="0016158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zh-CN"/>
        </w:rPr>
      </w:pPr>
    </w:p>
    <w:p w:rsidR="00161587" w:rsidRPr="00C95959" w:rsidRDefault="00161587" w:rsidP="0016158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  <w:lang w:eastAsia="zh-CN"/>
        </w:rPr>
      </w:pPr>
      <w:r w:rsidRPr="00C95959">
        <w:rPr>
          <w:rFonts w:ascii="Arial" w:hAnsi="Arial" w:cs="Arial"/>
          <w:sz w:val="20"/>
          <w:szCs w:val="20"/>
          <w:lang w:eastAsia="zh-CN"/>
        </w:rPr>
        <w:t xml:space="preserve">6. </w:t>
      </w:r>
      <w:r w:rsidRPr="00C95959">
        <w:rPr>
          <w:rFonts w:ascii="Arial" w:hAnsi="Arial" w:cs="Arial"/>
          <w:sz w:val="20"/>
          <w:szCs w:val="20"/>
          <w:lang w:eastAsia="zh-CN"/>
        </w:rPr>
        <w:tab/>
        <w:t>To be valid, the proxy form, duly completed must be deposited at the Registered Office not less than 48 hours before the time for holding the meeting or any adjournment thereof</w:t>
      </w:r>
      <w:r w:rsidR="00402214">
        <w:rPr>
          <w:rFonts w:ascii="Arial" w:hAnsi="Arial" w:cs="Arial"/>
          <w:sz w:val="20"/>
          <w:szCs w:val="20"/>
          <w:lang w:eastAsia="zh-CN"/>
        </w:rPr>
        <w:t>.</w:t>
      </w:r>
      <w:bookmarkStart w:id="0" w:name="_GoBack"/>
      <w:bookmarkEnd w:id="0"/>
    </w:p>
    <w:p w:rsidR="00A75E50" w:rsidRDefault="00A75E50" w:rsidP="00161587"/>
    <w:sectPr w:rsidR="00A75E50" w:rsidSect="00A7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87"/>
    <w:rsid w:val="00036F9D"/>
    <w:rsid w:val="00065C5D"/>
    <w:rsid w:val="00110AF0"/>
    <w:rsid w:val="00161587"/>
    <w:rsid w:val="001A0F43"/>
    <w:rsid w:val="002971C4"/>
    <w:rsid w:val="00402214"/>
    <w:rsid w:val="00A75E50"/>
    <w:rsid w:val="00CE307C"/>
    <w:rsid w:val="00D3450C"/>
    <w:rsid w:val="00E0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87"/>
    <w:pPr>
      <w:spacing w:after="0" w:line="240" w:lineRule="auto"/>
    </w:pPr>
    <w:rPr>
      <w:rFonts w:ascii="Tahoma" w:eastAsia="Times New Roman" w:hAnsi="Tahoma" w:cs="Times New Roman"/>
      <w:sz w:val="23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158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ing1Char">
    <w:name w:val="Heading 1 Char"/>
    <w:basedOn w:val="DefaultParagraphFont"/>
    <w:link w:val="Heading1"/>
    <w:rsid w:val="00161587"/>
    <w:rPr>
      <w:rFonts w:ascii="Tahoma" w:eastAsia="Times New Roman" w:hAnsi="Tahoma" w:cs="Times New Roman"/>
      <w:b/>
      <w:bCs/>
      <w:sz w:val="23"/>
      <w:szCs w:val="24"/>
    </w:rPr>
  </w:style>
  <w:style w:type="paragraph" w:styleId="BodyText2">
    <w:name w:val="Body Text 2"/>
    <w:basedOn w:val="Normal"/>
    <w:link w:val="BodyText2Char"/>
    <w:rsid w:val="00161587"/>
    <w:pPr>
      <w:jc w:val="both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161587"/>
    <w:rPr>
      <w:rFonts w:ascii="Tahoma" w:eastAsia="Times New Roman" w:hAnsi="Tahoma" w:cs="Times New Roman"/>
      <w:i/>
      <w:iCs/>
      <w:sz w:val="20"/>
      <w:szCs w:val="24"/>
    </w:rPr>
  </w:style>
  <w:style w:type="paragraph" w:styleId="BodyTextIndent">
    <w:name w:val="Body Text Indent"/>
    <w:basedOn w:val="Normal"/>
    <w:link w:val="BodyTextIndentChar"/>
    <w:rsid w:val="00161587"/>
    <w:pPr>
      <w:ind w:left="720" w:hanging="72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161587"/>
    <w:rPr>
      <w:rFonts w:ascii="Tahoma" w:eastAsia="Times New Roman" w:hAnsi="Tahoma" w:cs="Times New Roman"/>
      <w:b/>
      <w:bCs/>
      <w:sz w:val="23"/>
      <w:szCs w:val="24"/>
    </w:rPr>
  </w:style>
  <w:style w:type="paragraph" w:styleId="NoSpacing">
    <w:name w:val="No Spacing"/>
    <w:uiPriority w:val="1"/>
    <w:qFormat/>
    <w:rsid w:val="002971C4"/>
    <w:pPr>
      <w:spacing w:after="0" w:line="240" w:lineRule="auto"/>
    </w:pPr>
    <w:rPr>
      <w:rFonts w:ascii="Tahoma" w:eastAsia="Times New Roman" w:hAnsi="Tahoma" w:cs="Times New Roman"/>
      <w:sz w:val="23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87"/>
    <w:pPr>
      <w:spacing w:after="0" w:line="240" w:lineRule="auto"/>
    </w:pPr>
    <w:rPr>
      <w:rFonts w:ascii="Tahoma" w:eastAsia="Times New Roman" w:hAnsi="Tahoma" w:cs="Times New Roman"/>
      <w:sz w:val="23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158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F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ing1Char">
    <w:name w:val="Heading 1 Char"/>
    <w:basedOn w:val="DefaultParagraphFont"/>
    <w:link w:val="Heading1"/>
    <w:rsid w:val="00161587"/>
    <w:rPr>
      <w:rFonts w:ascii="Tahoma" w:eastAsia="Times New Roman" w:hAnsi="Tahoma" w:cs="Times New Roman"/>
      <w:b/>
      <w:bCs/>
      <w:sz w:val="23"/>
      <w:szCs w:val="24"/>
    </w:rPr>
  </w:style>
  <w:style w:type="paragraph" w:styleId="BodyText2">
    <w:name w:val="Body Text 2"/>
    <w:basedOn w:val="Normal"/>
    <w:link w:val="BodyText2Char"/>
    <w:rsid w:val="00161587"/>
    <w:pPr>
      <w:jc w:val="both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161587"/>
    <w:rPr>
      <w:rFonts w:ascii="Tahoma" w:eastAsia="Times New Roman" w:hAnsi="Tahoma" w:cs="Times New Roman"/>
      <w:i/>
      <w:iCs/>
      <w:sz w:val="20"/>
      <w:szCs w:val="24"/>
    </w:rPr>
  </w:style>
  <w:style w:type="paragraph" w:styleId="BodyTextIndent">
    <w:name w:val="Body Text Indent"/>
    <w:basedOn w:val="Normal"/>
    <w:link w:val="BodyTextIndentChar"/>
    <w:rsid w:val="00161587"/>
    <w:pPr>
      <w:ind w:left="720" w:hanging="72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161587"/>
    <w:rPr>
      <w:rFonts w:ascii="Tahoma" w:eastAsia="Times New Roman" w:hAnsi="Tahoma" w:cs="Times New Roman"/>
      <w:b/>
      <w:bCs/>
      <w:sz w:val="23"/>
      <w:szCs w:val="24"/>
    </w:rPr>
  </w:style>
  <w:style w:type="paragraph" w:styleId="NoSpacing">
    <w:name w:val="No Spacing"/>
    <w:uiPriority w:val="1"/>
    <w:qFormat/>
    <w:rsid w:val="002971C4"/>
    <w:pPr>
      <w:spacing w:after="0" w:line="240" w:lineRule="auto"/>
    </w:pPr>
    <w:rPr>
      <w:rFonts w:ascii="Tahoma" w:eastAsia="Times New Roman" w:hAnsi="Tahoma" w:cs="Times New Roman"/>
      <w:sz w:val="23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personal</cp:lastModifiedBy>
  <cp:revision>4</cp:revision>
  <cp:lastPrinted>2013-09-02T06:15:00Z</cp:lastPrinted>
  <dcterms:created xsi:type="dcterms:W3CDTF">2013-09-12T01:39:00Z</dcterms:created>
  <dcterms:modified xsi:type="dcterms:W3CDTF">2013-09-12T02:00:00Z</dcterms:modified>
</cp:coreProperties>
</file>